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1686F6">
      <w:pPr>
        <w:snapToGrid w:val="0"/>
        <w:spacing w:line="360" w:lineRule="auto"/>
        <w:ind w:firstLine="630" w:firstLineChars="196"/>
        <w:rPr>
          <w:rFonts w:ascii="宋体" w:hAnsi="宋体" w:eastAsia="宋体"/>
          <w:b/>
          <w:sz w:val="32"/>
          <w:szCs w:val="32"/>
        </w:rPr>
      </w:pPr>
    </w:p>
    <w:p w14:paraId="1B526BA0">
      <w:pPr>
        <w:snapToGrid w:val="0"/>
        <w:spacing w:line="360" w:lineRule="auto"/>
        <w:rPr>
          <w:rFonts w:ascii="仿宋" w:hAnsi="仿宋" w:eastAsia="仿宋"/>
          <w:b/>
          <w:szCs w:val="28"/>
        </w:rPr>
      </w:pPr>
      <w:r>
        <w:rPr>
          <w:rFonts w:hint="eastAsia" w:ascii="仿宋" w:hAnsi="仿宋" w:eastAsia="仿宋"/>
          <w:b/>
          <w:szCs w:val="28"/>
        </w:rPr>
        <w:t>附表1</w:t>
      </w:r>
    </w:p>
    <w:p w14:paraId="159842BA">
      <w:pPr>
        <w:snapToGrid w:val="0"/>
        <w:spacing w:line="360" w:lineRule="auto"/>
        <w:jc w:val="center"/>
        <w:rPr>
          <w:rFonts w:ascii="宋体" w:hAnsi="宋体" w:eastAsia="宋体"/>
          <w:b/>
          <w:sz w:val="32"/>
          <w:szCs w:val="32"/>
        </w:rPr>
      </w:pPr>
      <w:r>
        <w:rPr>
          <w:rFonts w:hint="eastAsia" w:ascii="宋体" w:hAnsi="宋体" w:eastAsia="宋体"/>
          <w:b/>
          <w:color w:val="FF0000"/>
          <w:sz w:val="32"/>
          <w:szCs w:val="32"/>
        </w:rPr>
        <w:t>协会</w:t>
      </w:r>
      <w:r>
        <w:rPr>
          <w:rFonts w:hint="eastAsia" w:ascii="宋体" w:hAnsi="宋体" w:eastAsia="宋体"/>
          <w:b/>
          <w:sz w:val="32"/>
          <w:szCs w:val="32"/>
        </w:rPr>
        <w:t>标准项目建议书</w:t>
      </w:r>
    </w:p>
    <w:tbl>
      <w:tblPr>
        <w:tblStyle w:val="9"/>
        <w:tblW w:w="97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7"/>
        <w:gridCol w:w="1078"/>
        <w:gridCol w:w="540"/>
        <w:gridCol w:w="540"/>
        <w:gridCol w:w="928"/>
        <w:gridCol w:w="886"/>
        <w:gridCol w:w="957"/>
        <w:gridCol w:w="744"/>
        <w:gridCol w:w="1900"/>
      </w:tblGrid>
      <w:tr w14:paraId="5BE2A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2167" w:type="dxa"/>
            <w:vAlign w:val="center"/>
          </w:tcPr>
          <w:p w14:paraId="7B3DED9C">
            <w:pPr>
              <w:snapToGrid w:val="0"/>
              <w:spacing w:line="360" w:lineRule="auto"/>
              <w:jc w:val="center"/>
              <w:rPr>
                <w:rFonts w:ascii="宋体" w:hAnsi="宋体" w:eastAsia="宋体"/>
                <w:sz w:val="18"/>
                <w:szCs w:val="18"/>
              </w:rPr>
            </w:pPr>
            <w:r>
              <w:rPr>
                <w:rFonts w:hint="eastAsia" w:ascii="宋体" w:hAnsi="宋体" w:eastAsia="宋体"/>
                <w:sz w:val="18"/>
                <w:szCs w:val="18"/>
              </w:rPr>
              <w:t>建议项目名称</w:t>
            </w:r>
          </w:p>
          <w:p w14:paraId="33C8158A">
            <w:pPr>
              <w:snapToGrid w:val="0"/>
              <w:spacing w:line="360" w:lineRule="auto"/>
              <w:ind w:left="-5" w:leftChars="-6" w:hanging="12" w:hangingChars="7"/>
              <w:jc w:val="center"/>
              <w:rPr>
                <w:rFonts w:ascii="宋体" w:hAnsi="宋体" w:eastAsia="宋体"/>
                <w:sz w:val="18"/>
                <w:szCs w:val="18"/>
              </w:rPr>
            </w:pPr>
            <w:r>
              <w:rPr>
                <w:rFonts w:ascii="宋体" w:hAnsi="宋体" w:eastAsia="宋体"/>
                <w:sz w:val="18"/>
                <w:szCs w:val="18"/>
              </w:rPr>
              <w:t>(</w:t>
            </w:r>
            <w:r>
              <w:rPr>
                <w:rFonts w:hint="eastAsia" w:ascii="宋体" w:hAnsi="宋体" w:eastAsia="宋体"/>
                <w:sz w:val="18"/>
                <w:szCs w:val="18"/>
              </w:rPr>
              <w:t>中文</w:t>
            </w:r>
            <w:r>
              <w:rPr>
                <w:rFonts w:ascii="宋体" w:hAnsi="宋体" w:eastAsia="宋体"/>
                <w:sz w:val="18"/>
                <w:szCs w:val="18"/>
              </w:rPr>
              <w:t>)</w:t>
            </w:r>
          </w:p>
        </w:tc>
        <w:tc>
          <w:tcPr>
            <w:tcW w:w="3086" w:type="dxa"/>
            <w:gridSpan w:val="4"/>
            <w:vAlign w:val="center"/>
          </w:tcPr>
          <w:p w14:paraId="17FEB679">
            <w:pPr>
              <w:snapToGrid w:val="0"/>
              <w:spacing w:line="360" w:lineRule="auto"/>
              <w:rPr>
                <w:rFonts w:hint="default" w:ascii="宋体" w:hAnsi="宋体" w:eastAsia="宋体"/>
                <w:sz w:val="18"/>
                <w:szCs w:val="18"/>
                <w:lang w:val="en-US" w:eastAsia="zh-CN"/>
              </w:rPr>
            </w:pPr>
            <w:r>
              <w:rPr>
                <w:rFonts w:hint="default" w:ascii="宋体" w:hAnsi="宋体" w:eastAsia="宋体"/>
                <w:sz w:val="18"/>
                <w:szCs w:val="18"/>
                <w:lang w:val="en-US" w:eastAsia="zh-CN"/>
              </w:rPr>
              <w:t xml:space="preserve">建材产品使用说明书 </w:t>
            </w:r>
            <w:r>
              <w:rPr>
                <w:rFonts w:hint="eastAsia" w:ascii="宋体" w:hAnsi="宋体" w:eastAsia="宋体"/>
                <w:sz w:val="18"/>
                <w:szCs w:val="18"/>
                <w:lang w:val="en-US" w:eastAsia="zh-CN"/>
              </w:rPr>
              <w:t>室内健康水性艺术涂料</w:t>
            </w:r>
          </w:p>
        </w:tc>
        <w:tc>
          <w:tcPr>
            <w:tcW w:w="1843" w:type="dxa"/>
            <w:gridSpan w:val="2"/>
            <w:vAlign w:val="center"/>
          </w:tcPr>
          <w:p w14:paraId="299E92B1">
            <w:pPr>
              <w:snapToGrid w:val="0"/>
              <w:spacing w:line="360" w:lineRule="auto"/>
              <w:jc w:val="center"/>
              <w:rPr>
                <w:rFonts w:ascii="宋体" w:hAnsi="宋体" w:eastAsia="宋体"/>
                <w:sz w:val="18"/>
                <w:szCs w:val="18"/>
              </w:rPr>
            </w:pPr>
            <w:r>
              <w:rPr>
                <w:rFonts w:hint="eastAsia" w:ascii="宋体" w:hAnsi="宋体" w:eastAsia="宋体"/>
                <w:sz w:val="18"/>
                <w:szCs w:val="18"/>
              </w:rPr>
              <w:t>建议项目名称</w:t>
            </w:r>
          </w:p>
          <w:p w14:paraId="3C1BBF49">
            <w:pPr>
              <w:snapToGrid w:val="0"/>
              <w:spacing w:line="360" w:lineRule="auto"/>
              <w:jc w:val="center"/>
              <w:rPr>
                <w:rFonts w:ascii="宋体" w:hAnsi="宋体" w:eastAsia="宋体"/>
                <w:sz w:val="18"/>
                <w:szCs w:val="18"/>
              </w:rPr>
            </w:pPr>
            <w:r>
              <w:rPr>
                <w:rFonts w:ascii="宋体" w:hAnsi="宋体" w:eastAsia="宋体"/>
                <w:sz w:val="18"/>
                <w:szCs w:val="18"/>
              </w:rPr>
              <w:t>(</w:t>
            </w:r>
            <w:r>
              <w:rPr>
                <w:rFonts w:hint="eastAsia" w:ascii="宋体" w:hAnsi="宋体" w:eastAsia="宋体"/>
                <w:sz w:val="18"/>
                <w:szCs w:val="18"/>
              </w:rPr>
              <w:t>英文</w:t>
            </w:r>
            <w:r>
              <w:rPr>
                <w:rFonts w:ascii="宋体" w:hAnsi="宋体" w:eastAsia="宋体"/>
                <w:sz w:val="18"/>
                <w:szCs w:val="18"/>
              </w:rPr>
              <w:t>)</w:t>
            </w:r>
          </w:p>
        </w:tc>
        <w:tc>
          <w:tcPr>
            <w:tcW w:w="2644" w:type="dxa"/>
            <w:gridSpan w:val="2"/>
            <w:vAlign w:val="center"/>
          </w:tcPr>
          <w:p w14:paraId="2E70E175">
            <w:pPr>
              <w:snapToGrid w:val="0"/>
              <w:spacing w:line="360" w:lineRule="auto"/>
              <w:rPr>
                <w:rFonts w:ascii="宋体" w:hAnsi="宋体" w:eastAsia="宋体"/>
                <w:sz w:val="18"/>
                <w:szCs w:val="18"/>
              </w:rPr>
            </w:pPr>
            <w:r>
              <w:rPr>
                <w:rFonts w:hint="eastAsia" w:ascii="宋体" w:hAnsi="宋体" w:eastAsia="宋体"/>
                <w:sz w:val="18"/>
                <w:szCs w:val="18"/>
              </w:rPr>
              <w:t>Operating manual of building materials products—Indoor healthy water-based artistic coatings</w:t>
            </w:r>
          </w:p>
        </w:tc>
      </w:tr>
      <w:tr w14:paraId="7FEAB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jc w:val="center"/>
        </w:trPr>
        <w:tc>
          <w:tcPr>
            <w:tcW w:w="2167" w:type="dxa"/>
            <w:vAlign w:val="center"/>
          </w:tcPr>
          <w:p w14:paraId="01F3B627">
            <w:pPr>
              <w:snapToGrid w:val="0"/>
              <w:spacing w:line="360" w:lineRule="auto"/>
              <w:jc w:val="center"/>
              <w:rPr>
                <w:rFonts w:ascii="宋体" w:hAnsi="宋体" w:eastAsia="宋体"/>
                <w:sz w:val="18"/>
                <w:szCs w:val="18"/>
              </w:rPr>
            </w:pPr>
            <w:r>
              <w:rPr>
                <w:rFonts w:hint="eastAsia" w:ascii="宋体" w:hAnsi="宋体" w:eastAsia="宋体"/>
                <w:sz w:val="18"/>
                <w:szCs w:val="18"/>
              </w:rPr>
              <w:t>制定或修订</w:t>
            </w:r>
          </w:p>
        </w:tc>
        <w:tc>
          <w:tcPr>
            <w:tcW w:w="1618" w:type="dxa"/>
            <w:gridSpan w:val="2"/>
            <w:vAlign w:val="center"/>
          </w:tcPr>
          <w:p w14:paraId="4F0AD6E4">
            <w:pPr>
              <w:snapToGrid w:val="0"/>
              <w:spacing w:line="360" w:lineRule="auto"/>
              <w:rPr>
                <w:rFonts w:ascii="宋体" w:hAnsi="宋体" w:eastAsia="宋体"/>
                <w:sz w:val="18"/>
                <w:szCs w:val="18"/>
              </w:rPr>
            </w:pPr>
            <w:r>
              <w:rPr>
                <w:rFonts w:hint="eastAsia" w:ascii="宋体" w:hAnsi="宋体" w:eastAsia="宋体"/>
                <w:sz w:val="18"/>
                <w:szCs w:val="18"/>
                <w:lang w:eastAsia="zh-CN"/>
              </w:rPr>
              <w:t>☑</w:t>
            </w:r>
            <w:r>
              <w:rPr>
                <w:rFonts w:hint="eastAsia" w:ascii="宋体" w:hAnsi="宋体" w:eastAsia="宋体"/>
                <w:sz w:val="18"/>
                <w:szCs w:val="18"/>
              </w:rPr>
              <w:t xml:space="preserve"> 制定</w:t>
            </w:r>
          </w:p>
        </w:tc>
        <w:tc>
          <w:tcPr>
            <w:tcW w:w="1468" w:type="dxa"/>
            <w:gridSpan w:val="2"/>
            <w:vAlign w:val="center"/>
          </w:tcPr>
          <w:p w14:paraId="7693BC2D">
            <w:pPr>
              <w:snapToGrid w:val="0"/>
              <w:spacing w:line="360" w:lineRule="auto"/>
              <w:rPr>
                <w:rFonts w:ascii="宋体" w:hAnsi="宋体" w:eastAsia="宋体"/>
                <w:sz w:val="18"/>
                <w:szCs w:val="18"/>
              </w:rPr>
            </w:pPr>
            <w:r>
              <w:rPr>
                <w:rFonts w:hint="eastAsia" w:ascii="宋体" w:hAnsi="宋体" w:eastAsia="宋体"/>
                <w:sz w:val="18"/>
                <w:szCs w:val="18"/>
              </w:rPr>
              <w:t>□ 修订</w:t>
            </w:r>
          </w:p>
        </w:tc>
        <w:tc>
          <w:tcPr>
            <w:tcW w:w="1843" w:type="dxa"/>
            <w:gridSpan w:val="2"/>
            <w:vAlign w:val="center"/>
          </w:tcPr>
          <w:p w14:paraId="2B8ECAB2">
            <w:pPr>
              <w:snapToGrid w:val="0"/>
              <w:spacing w:line="360" w:lineRule="auto"/>
              <w:jc w:val="center"/>
              <w:rPr>
                <w:rFonts w:ascii="宋体" w:hAnsi="宋体" w:eastAsia="宋体"/>
                <w:sz w:val="18"/>
                <w:szCs w:val="18"/>
              </w:rPr>
            </w:pPr>
            <w:r>
              <w:rPr>
                <w:rFonts w:hint="eastAsia" w:ascii="宋体" w:hAnsi="宋体" w:eastAsia="宋体"/>
                <w:sz w:val="18"/>
                <w:szCs w:val="18"/>
              </w:rPr>
              <w:t>被修订标准号</w:t>
            </w:r>
          </w:p>
        </w:tc>
        <w:tc>
          <w:tcPr>
            <w:tcW w:w="2644" w:type="dxa"/>
            <w:gridSpan w:val="2"/>
            <w:vAlign w:val="center"/>
          </w:tcPr>
          <w:p w14:paraId="1695D9B2">
            <w:pPr>
              <w:snapToGrid w:val="0"/>
              <w:spacing w:line="360" w:lineRule="auto"/>
              <w:rPr>
                <w:rFonts w:hint="eastAsia" w:ascii="宋体" w:hAnsi="宋体" w:eastAsia="宋体"/>
                <w:sz w:val="18"/>
                <w:szCs w:val="18"/>
                <w:lang w:val="en-US" w:eastAsia="zh-CN"/>
              </w:rPr>
            </w:pPr>
            <w:r>
              <w:rPr>
                <w:rFonts w:hint="eastAsia" w:ascii="宋体" w:hAnsi="宋体" w:eastAsia="宋体"/>
                <w:sz w:val="18"/>
                <w:szCs w:val="18"/>
                <w:lang w:val="en-US" w:eastAsia="zh-CN"/>
              </w:rPr>
              <w:t>/</w:t>
            </w:r>
          </w:p>
        </w:tc>
      </w:tr>
      <w:tr w14:paraId="60BB6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2167" w:type="dxa"/>
            <w:vAlign w:val="center"/>
          </w:tcPr>
          <w:p w14:paraId="5230C168">
            <w:pPr>
              <w:snapToGrid w:val="0"/>
              <w:spacing w:line="360" w:lineRule="auto"/>
              <w:jc w:val="center"/>
              <w:rPr>
                <w:rFonts w:ascii="宋体" w:hAnsi="宋体" w:eastAsia="宋体"/>
                <w:sz w:val="18"/>
                <w:szCs w:val="18"/>
              </w:rPr>
            </w:pPr>
            <w:r>
              <w:rPr>
                <w:rFonts w:hint="eastAsia" w:ascii="宋体" w:hAnsi="宋体" w:eastAsia="宋体"/>
                <w:sz w:val="18"/>
                <w:szCs w:val="18"/>
              </w:rPr>
              <w:t>采用程度</w:t>
            </w:r>
          </w:p>
        </w:tc>
        <w:tc>
          <w:tcPr>
            <w:tcW w:w="1078" w:type="dxa"/>
            <w:vAlign w:val="center"/>
          </w:tcPr>
          <w:p w14:paraId="3F783A4F">
            <w:pPr>
              <w:snapToGrid w:val="0"/>
              <w:spacing w:line="360" w:lineRule="auto"/>
              <w:rPr>
                <w:rFonts w:ascii="宋体" w:hAnsi="宋体" w:eastAsia="宋体"/>
                <w:sz w:val="18"/>
                <w:szCs w:val="18"/>
              </w:rPr>
            </w:pPr>
            <w:r>
              <w:rPr>
                <w:rFonts w:hint="eastAsia" w:ascii="宋体" w:hAnsi="宋体" w:eastAsia="宋体"/>
                <w:sz w:val="18"/>
                <w:szCs w:val="18"/>
              </w:rPr>
              <w:t>□ IDT</w:t>
            </w:r>
          </w:p>
        </w:tc>
        <w:tc>
          <w:tcPr>
            <w:tcW w:w="1080" w:type="dxa"/>
            <w:gridSpan w:val="2"/>
            <w:vAlign w:val="center"/>
          </w:tcPr>
          <w:p w14:paraId="53C5FCF1">
            <w:pPr>
              <w:snapToGrid w:val="0"/>
              <w:spacing w:line="360" w:lineRule="auto"/>
              <w:rPr>
                <w:rFonts w:ascii="宋体" w:hAnsi="宋体" w:eastAsia="宋体"/>
                <w:sz w:val="18"/>
                <w:szCs w:val="18"/>
              </w:rPr>
            </w:pPr>
            <w:r>
              <w:rPr>
                <w:rFonts w:hint="eastAsia" w:ascii="宋体" w:hAnsi="宋体" w:eastAsia="宋体"/>
                <w:sz w:val="18"/>
                <w:szCs w:val="18"/>
              </w:rPr>
              <w:t>□ MOD</w:t>
            </w:r>
          </w:p>
        </w:tc>
        <w:tc>
          <w:tcPr>
            <w:tcW w:w="928" w:type="dxa"/>
            <w:vAlign w:val="center"/>
          </w:tcPr>
          <w:p w14:paraId="02C4A625">
            <w:pPr>
              <w:snapToGrid w:val="0"/>
              <w:spacing w:line="360" w:lineRule="auto"/>
              <w:rPr>
                <w:rFonts w:ascii="宋体" w:hAnsi="宋体" w:eastAsia="宋体"/>
                <w:sz w:val="18"/>
                <w:szCs w:val="18"/>
              </w:rPr>
            </w:pPr>
            <w:r>
              <w:rPr>
                <w:rFonts w:hint="eastAsia" w:ascii="宋体" w:hAnsi="宋体" w:eastAsia="宋体"/>
                <w:sz w:val="18"/>
                <w:szCs w:val="18"/>
              </w:rPr>
              <w:t>□ NEQ</w:t>
            </w:r>
          </w:p>
        </w:tc>
        <w:tc>
          <w:tcPr>
            <w:tcW w:w="1843" w:type="dxa"/>
            <w:gridSpan w:val="2"/>
            <w:vAlign w:val="center"/>
          </w:tcPr>
          <w:p w14:paraId="052E639C">
            <w:pPr>
              <w:snapToGrid w:val="0"/>
              <w:spacing w:line="360" w:lineRule="auto"/>
              <w:jc w:val="center"/>
              <w:rPr>
                <w:rFonts w:ascii="宋体" w:hAnsi="宋体" w:eastAsia="宋体"/>
                <w:sz w:val="18"/>
                <w:szCs w:val="18"/>
              </w:rPr>
            </w:pPr>
            <w:r>
              <w:rPr>
                <w:rFonts w:hint="eastAsia" w:ascii="宋体" w:hAnsi="宋体" w:eastAsia="宋体"/>
                <w:sz w:val="18"/>
                <w:szCs w:val="18"/>
              </w:rPr>
              <w:t>采标号</w:t>
            </w:r>
          </w:p>
        </w:tc>
        <w:tc>
          <w:tcPr>
            <w:tcW w:w="2644" w:type="dxa"/>
            <w:gridSpan w:val="2"/>
            <w:vAlign w:val="center"/>
          </w:tcPr>
          <w:p w14:paraId="3C3603A4">
            <w:pPr>
              <w:snapToGrid w:val="0"/>
              <w:spacing w:line="360" w:lineRule="auto"/>
              <w:rPr>
                <w:rFonts w:hint="eastAsia" w:ascii="宋体" w:hAnsi="宋体" w:eastAsia="宋体"/>
                <w:sz w:val="18"/>
                <w:szCs w:val="18"/>
                <w:lang w:val="en-US" w:eastAsia="zh-CN"/>
              </w:rPr>
            </w:pPr>
            <w:r>
              <w:rPr>
                <w:rFonts w:hint="eastAsia" w:ascii="宋体" w:hAnsi="宋体" w:eastAsia="宋体"/>
                <w:sz w:val="18"/>
                <w:szCs w:val="18"/>
                <w:lang w:val="en-US" w:eastAsia="zh-CN"/>
              </w:rPr>
              <w:t>/</w:t>
            </w:r>
          </w:p>
        </w:tc>
      </w:tr>
      <w:tr w14:paraId="73A11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2167" w:type="dxa"/>
            <w:vAlign w:val="center"/>
          </w:tcPr>
          <w:p w14:paraId="1D6D0708">
            <w:pPr>
              <w:snapToGrid w:val="0"/>
              <w:spacing w:line="360" w:lineRule="auto"/>
              <w:jc w:val="center"/>
              <w:rPr>
                <w:rFonts w:ascii="宋体" w:hAnsi="宋体" w:eastAsia="宋体"/>
                <w:sz w:val="18"/>
                <w:szCs w:val="18"/>
              </w:rPr>
            </w:pPr>
            <w:r>
              <w:rPr>
                <w:rFonts w:hint="eastAsia" w:ascii="宋体" w:hAnsi="宋体" w:eastAsia="宋体"/>
                <w:sz w:val="18"/>
                <w:szCs w:val="18"/>
              </w:rPr>
              <w:t>国际标准名称（中文）</w:t>
            </w:r>
          </w:p>
        </w:tc>
        <w:tc>
          <w:tcPr>
            <w:tcW w:w="3086" w:type="dxa"/>
            <w:gridSpan w:val="4"/>
            <w:vAlign w:val="center"/>
          </w:tcPr>
          <w:p w14:paraId="11170193">
            <w:pPr>
              <w:snapToGrid w:val="0"/>
              <w:spacing w:line="360" w:lineRule="auto"/>
              <w:rPr>
                <w:rFonts w:ascii="宋体" w:hAnsi="宋体" w:eastAsia="宋体"/>
                <w:sz w:val="18"/>
                <w:szCs w:val="18"/>
              </w:rPr>
            </w:pPr>
          </w:p>
        </w:tc>
        <w:tc>
          <w:tcPr>
            <w:tcW w:w="1843" w:type="dxa"/>
            <w:gridSpan w:val="2"/>
            <w:vAlign w:val="center"/>
          </w:tcPr>
          <w:p w14:paraId="4AB42558">
            <w:pPr>
              <w:snapToGrid w:val="0"/>
              <w:spacing w:line="360" w:lineRule="auto"/>
              <w:jc w:val="center"/>
              <w:rPr>
                <w:rFonts w:ascii="宋体" w:hAnsi="宋体" w:eastAsia="宋体"/>
                <w:sz w:val="18"/>
                <w:szCs w:val="18"/>
              </w:rPr>
            </w:pPr>
            <w:r>
              <w:rPr>
                <w:rFonts w:hint="eastAsia" w:ascii="宋体" w:hAnsi="宋体" w:eastAsia="宋体"/>
                <w:sz w:val="18"/>
                <w:szCs w:val="18"/>
              </w:rPr>
              <w:t>国际标准名称（英文）</w:t>
            </w:r>
          </w:p>
        </w:tc>
        <w:tc>
          <w:tcPr>
            <w:tcW w:w="2644" w:type="dxa"/>
            <w:gridSpan w:val="2"/>
            <w:vAlign w:val="center"/>
          </w:tcPr>
          <w:p w14:paraId="59EBA5A0">
            <w:pPr>
              <w:snapToGrid w:val="0"/>
              <w:spacing w:line="360" w:lineRule="auto"/>
              <w:rPr>
                <w:rFonts w:ascii="宋体" w:hAnsi="宋体" w:eastAsia="宋体"/>
                <w:sz w:val="18"/>
                <w:szCs w:val="18"/>
              </w:rPr>
            </w:pPr>
          </w:p>
        </w:tc>
      </w:tr>
      <w:tr w14:paraId="045DA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2167" w:type="dxa"/>
            <w:vAlign w:val="center"/>
          </w:tcPr>
          <w:p w14:paraId="7BCE70BF">
            <w:pPr>
              <w:snapToGrid w:val="0"/>
              <w:spacing w:line="360" w:lineRule="auto"/>
              <w:jc w:val="center"/>
              <w:rPr>
                <w:rFonts w:ascii="宋体" w:hAnsi="宋体" w:eastAsia="宋体"/>
                <w:sz w:val="18"/>
                <w:szCs w:val="18"/>
              </w:rPr>
            </w:pPr>
            <w:r>
              <w:rPr>
                <w:rFonts w:ascii="宋体" w:hAnsi="宋体" w:eastAsia="宋体"/>
                <w:sz w:val="18"/>
                <w:szCs w:val="18"/>
              </w:rPr>
              <w:t>ICS</w:t>
            </w:r>
            <w:r>
              <w:rPr>
                <w:rFonts w:hint="eastAsia" w:ascii="宋体" w:hAnsi="宋体" w:eastAsia="宋体"/>
                <w:sz w:val="18"/>
                <w:szCs w:val="18"/>
              </w:rPr>
              <w:t>分类号</w:t>
            </w:r>
          </w:p>
        </w:tc>
        <w:tc>
          <w:tcPr>
            <w:tcW w:w="3086" w:type="dxa"/>
            <w:gridSpan w:val="4"/>
            <w:vAlign w:val="center"/>
          </w:tcPr>
          <w:p w14:paraId="3A57D82C">
            <w:pPr>
              <w:snapToGrid w:val="0"/>
              <w:spacing w:line="360" w:lineRule="auto"/>
              <w:rPr>
                <w:rFonts w:hint="default" w:ascii="宋体" w:hAnsi="宋体" w:eastAsia="宋体"/>
                <w:sz w:val="18"/>
                <w:szCs w:val="18"/>
                <w:lang w:val="en-US" w:eastAsia="zh-CN"/>
              </w:rPr>
            </w:pPr>
            <w:r>
              <w:rPr>
                <w:rFonts w:hint="eastAsia" w:ascii="宋体" w:hAnsi="宋体" w:eastAsia="宋体"/>
                <w:sz w:val="18"/>
                <w:szCs w:val="18"/>
              </w:rPr>
              <w:t>91.100</w:t>
            </w:r>
            <w:r>
              <w:rPr>
                <w:rFonts w:hint="eastAsia" w:ascii="宋体" w:hAnsi="宋体" w:eastAsia="宋体"/>
                <w:sz w:val="18"/>
                <w:szCs w:val="18"/>
                <w:lang w:val="en-US" w:eastAsia="zh-CN"/>
              </w:rPr>
              <w:t>.01</w:t>
            </w:r>
          </w:p>
        </w:tc>
        <w:tc>
          <w:tcPr>
            <w:tcW w:w="1843" w:type="dxa"/>
            <w:gridSpan w:val="2"/>
            <w:vAlign w:val="center"/>
          </w:tcPr>
          <w:p w14:paraId="089A211D">
            <w:pPr>
              <w:snapToGrid w:val="0"/>
              <w:spacing w:line="360" w:lineRule="auto"/>
              <w:jc w:val="center"/>
              <w:rPr>
                <w:rFonts w:ascii="宋体" w:hAnsi="宋体" w:eastAsia="宋体"/>
                <w:sz w:val="18"/>
                <w:szCs w:val="18"/>
              </w:rPr>
            </w:pPr>
            <w:r>
              <w:rPr>
                <w:rFonts w:hint="eastAsia" w:ascii="宋体" w:hAnsi="宋体" w:eastAsia="宋体"/>
                <w:sz w:val="18"/>
                <w:szCs w:val="18"/>
              </w:rPr>
              <w:t>中国标准分类号</w:t>
            </w:r>
          </w:p>
        </w:tc>
        <w:tc>
          <w:tcPr>
            <w:tcW w:w="2644" w:type="dxa"/>
            <w:gridSpan w:val="2"/>
            <w:vAlign w:val="center"/>
          </w:tcPr>
          <w:p w14:paraId="4D142586">
            <w:pPr>
              <w:snapToGrid w:val="0"/>
              <w:spacing w:line="360" w:lineRule="auto"/>
              <w:rPr>
                <w:rFonts w:hint="default" w:ascii="宋体" w:hAnsi="宋体" w:eastAsia="宋体"/>
                <w:sz w:val="18"/>
                <w:szCs w:val="18"/>
                <w:lang w:val="en-US" w:eastAsia="zh-CN"/>
              </w:rPr>
            </w:pPr>
            <w:r>
              <w:rPr>
                <w:rFonts w:hint="eastAsia" w:ascii="宋体" w:hAnsi="宋体" w:eastAsia="宋体"/>
                <w:sz w:val="18"/>
                <w:szCs w:val="18"/>
              </w:rPr>
              <w:t xml:space="preserve">Q </w:t>
            </w:r>
            <w:r>
              <w:rPr>
                <w:rFonts w:hint="eastAsia" w:ascii="宋体" w:hAnsi="宋体" w:eastAsia="宋体"/>
                <w:sz w:val="18"/>
                <w:szCs w:val="18"/>
                <w:lang w:val="en-US" w:eastAsia="zh-CN"/>
              </w:rPr>
              <w:t>01</w:t>
            </w:r>
          </w:p>
        </w:tc>
      </w:tr>
      <w:tr w14:paraId="3C1E1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6" w:hRule="atLeast"/>
          <w:jc w:val="center"/>
        </w:trPr>
        <w:tc>
          <w:tcPr>
            <w:tcW w:w="2167" w:type="dxa"/>
            <w:vAlign w:val="center"/>
          </w:tcPr>
          <w:p w14:paraId="703AEE81">
            <w:pPr>
              <w:snapToGrid w:val="0"/>
              <w:spacing w:line="360" w:lineRule="auto"/>
              <w:jc w:val="center"/>
              <w:rPr>
                <w:rFonts w:ascii="宋体" w:hAnsi="宋体" w:eastAsia="宋体"/>
                <w:sz w:val="18"/>
                <w:szCs w:val="18"/>
              </w:rPr>
            </w:pPr>
            <w:r>
              <w:rPr>
                <w:rFonts w:hint="eastAsia" w:ascii="宋体" w:hAnsi="宋体" w:eastAsia="宋体"/>
                <w:sz w:val="18"/>
                <w:szCs w:val="18"/>
              </w:rPr>
              <w:t>标准主要起草单位</w:t>
            </w:r>
          </w:p>
        </w:tc>
        <w:tc>
          <w:tcPr>
            <w:tcW w:w="3086" w:type="dxa"/>
            <w:gridSpan w:val="4"/>
            <w:vAlign w:val="center"/>
          </w:tcPr>
          <w:p w14:paraId="1F5DEFD9">
            <w:pPr>
              <w:snapToGrid w:val="0"/>
              <w:spacing w:line="360" w:lineRule="auto"/>
              <w:rPr>
                <w:rFonts w:hint="default" w:ascii="宋体" w:hAnsi="宋体" w:eastAsia="宋体"/>
                <w:sz w:val="18"/>
                <w:szCs w:val="18"/>
                <w:lang w:val="en-US" w:eastAsia="zh-CN"/>
              </w:rPr>
            </w:pPr>
            <w:r>
              <w:rPr>
                <w:rFonts w:hint="eastAsia" w:ascii="宋体" w:hAnsi="宋体" w:eastAsia="宋体"/>
                <w:sz w:val="18"/>
                <w:szCs w:val="18"/>
              </w:rPr>
              <w:t>中国建筑材料科学研究总院有限公司、兰舍硅藻新材料有限公司</w:t>
            </w:r>
            <w:r>
              <w:rPr>
                <w:rFonts w:hint="eastAsia" w:ascii="宋体" w:hAnsi="宋体" w:eastAsia="宋体"/>
                <w:sz w:val="18"/>
                <w:szCs w:val="18"/>
                <w:lang w:eastAsia="zh-CN"/>
              </w:rPr>
              <w:t>、</w:t>
            </w:r>
            <w:r>
              <w:rPr>
                <w:rFonts w:hint="eastAsia" w:ascii="宋体" w:hAnsi="宋体" w:eastAsia="宋体"/>
                <w:sz w:val="18"/>
                <w:szCs w:val="18"/>
                <w:lang w:val="en-US" w:eastAsia="zh-CN"/>
              </w:rPr>
              <w:t>三棵树涂料股份有限公司、山西玉竹新材料科技股份有限公司</w:t>
            </w:r>
          </w:p>
        </w:tc>
        <w:tc>
          <w:tcPr>
            <w:tcW w:w="1843" w:type="dxa"/>
            <w:gridSpan w:val="2"/>
            <w:vAlign w:val="center"/>
          </w:tcPr>
          <w:p w14:paraId="6BFC40DC">
            <w:pPr>
              <w:snapToGrid w:val="0"/>
              <w:spacing w:line="360" w:lineRule="auto"/>
              <w:jc w:val="center"/>
              <w:rPr>
                <w:rFonts w:ascii="宋体" w:hAnsi="宋体" w:eastAsia="宋体"/>
                <w:sz w:val="18"/>
                <w:szCs w:val="18"/>
              </w:rPr>
            </w:pPr>
            <w:r>
              <w:rPr>
                <w:rFonts w:hint="eastAsia" w:ascii="宋体" w:hAnsi="宋体" w:eastAsia="宋体"/>
                <w:sz w:val="18"/>
                <w:szCs w:val="18"/>
              </w:rPr>
              <w:t>计划起止时间</w:t>
            </w:r>
          </w:p>
        </w:tc>
        <w:tc>
          <w:tcPr>
            <w:tcW w:w="2644" w:type="dxa"/>
            <w:gridSpan w:val="2"/>
            <w:vAlign w:val="center"/>
          </w:tcPr>
          <w:p w14:paraId="12252B6E">
            <w:pPr>
              <w:snapToGrid w:val="0"/>
              <w:spacing w:line="360" w:lineRule="auto"/>
              <w:rPr>
                <w:rFonts w:hint="default" w:ascii="宋体" w:hAnsi="宋体" w:eastAsia="宋体"/>
                <w:sz w:val="18"/>
                <w:szCs w:val="18"/>
                <w:lang w:val="en-US" w:eastAsia="zh-CN"/>
              </w:rPr>
            </w:pPr>
            <w:r>
              <w:rPr>
                <w:rFonts w:hint="eastAsia" w:ascii="宋体" w:hAnsi="宋体" w:eastAsia="宋体"/>
                <w:sz w:val="18"/>
                <w:szCs w:val="18"/>
                <w:lang w:val="en-US" w:eastAsia="zh-CN"/>
              </w:rPr>
              <w:t>2026.6-2027.8</w:t>
            </w:r>
          </w:p>
        </w:tc>
      </w:tr>
      <w:tr w14:paraId="1A682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5" w:hRule="atLeast"/>
          <w:jc w:val="center"/>
        </w:trPr>
        <w:tc>
          <w:tcPr>
            <w:tcW w:w="2167" w:type="dxa"/>
            <w:vAlign w:val="center"/>
          </w:tcPr>
          <w:p w14:paraId="2ED5D36E">
            <w:pPr>
              <w:snapToGrid w:val="0"/>
              <w:spacing w:line="360" w:lineRule="auto"/>
              <w:jc w:val="center"/>
              <w:rPr>
                <w:rFonts w:ascii="宋体" w:hAnsi="宋体" w:eastAsia="宋体"/>
                <w:sz w:val="18"/>
                <w:szCs w:val="18"/>
              </w:rPr>
            </w:pPr>
            <w:r>
              <w:rPr>
                <w:rFonts w:hint="eastAsia" w:ascii="宋体" w:hAnsi="宋体" w:eastAsia="宋体"/>
                <w:sz w:val="18"/>
                <w:szCs w:val="18"/>
              </w:rPr>
              <w:t>目的</w:t>
            </w:r>
            <w:r>
              <w:rPr>
                <w:rFonts w:ascii="宋体" w:hAnsi="宋体" w:eastAsia="宋体"/>
                <w:sz w:val="18"/>
                <w:szCs w:val="18"/>
              </w:rPr>
              <w:t>﹑</w:t>
            </w:r>
            <w:r>
              <w:rPr>
                <w:rFonts w:hint="eastAsia" w:ascii="宋体" w:hAnsi="宋体" w:eastAsia="宋体"/>
                <w:sz w:val="18"/>
                <w:szCs w:val="18"/>
              </w:rPr>
              <w:t>意义或必</w:t>
            </w:r>
          </w:p>
          <w:p w14:paraId="58062EF5">
            <w:pPr>
              <w:snapToGrid w:val="0"/>
              <w:spacing w:line="360" w:lineRule="auto"/>
              <w:jc w:val="center"/>
              <w:rPr>
                <w:rFonts w:ascii="宋体" w:hAnsi="宋体" w:eastAsia="宋体"/>
                <w:sz w:val="18"/>
                <w:szCs w:val="18"/>
              </w:rPr>
            </w:pPr>
            <w:r>
              <w:rPr>
                <w:rFonts w:hint="eastAsia" w:ascii="宋体" w:hAnsi="宋体" w:eastAsia="宋体"/>
                <w:sz w:val="18"/>
                <w:szCs w:val="18"/>
              </w:rPr>
              <w:t>要性</w:t>
            </w:r>
          </w:p>
        </w:tc>
        <w:tc>
          <w:tcPr>
            <w:tcW w:w="7573" w:type="dxa"/>
            <w:gridSpan w:val="8"/>
            <w:vAlign w:val="center"/>
          </w:tcPr>
          <w:p w14:paraId="58837E7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360" w:firstLineChars="200"/>
              <w:textAlignment w:val="auto"/>
              <w:rPr>
                <w:rFonts w:ascii="宋体" w:hAnsi="宋体" w:eastAsia="宋体"/>
                <w:sz w:val="18"/>
                <w:szCs w:val="18"/>
              </w:rPr>
            </w:pPr>
          </w:p>
          <w:p w14:paraId="539140C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360" w:firstLineChars="200"/>
              <w:textAlignment w:val="auto"/>
              <w:rPr>
                <w:rFonts w:hint="eastAsia" w:ascii="宋体" w:hAnsi="宋体" w:eastAsia="宋体"/>
                <w:sz w:val="18"/>
                <w:szCs w:val="18"/>
                <w:u w:val="single"/>
              </w:rPr>
            </w:pPr>
            <w:r>
              <w:rPr>
                <w:rFonts w:hint="eastAsia" w:ascii="宋体" w:hAnsi="宋体" w:eastAsia="宋体"/>
                <w:sz w:val="18"/>
                <w:szCs w:val="18"/>
                <w:u w:val="single"/>
              </w:rPr>
              <w:t>指出标准项目涉及的方面，期望解决的问题；</w:t>
            </w:r>
          </w:p>
          <w:p w14:paraId="250DED0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360" w:firstLineChars="200"/>
              <w:textAlignment w:val="auto"/>
              <w:rPr>
                <w:rFonts w:hint="default" w:ascii="宋体" w:hAnsi="宋体" w:eastAsia="宋体" w:cs="宋体"/>
                <w:b w:val="0"/>
                <w:bCs w:val="0"/>
                <w:sz w:val="18"/>
                <w:szCs w:val="18"/>
                <w:lang w:val="en-US" w:eastAsia="zh-CN"/>
              </w:rPr>
            </w:pPr>
            <w:r>
              <w:rPr>
                <w:rFonts w:hint="default" w:ascii="宋体" w:hAnsi="宋体" w:eastAsia="宋体" w:cs="宋体"/>
                <w:b w:val="0"/>
                <w:bCs w:val="0"/>
                <w:sz w:val="18"/>
                <w:szCs w:val="18"/>
                <w:lang w:val="en-US" w:eastAsia="zh-CN"/>
              </w:rPr>
              <w:t>随着我国经济社会快速发展和人民生活水平的不断提高，室内环境质量已成为社会关注的焦点。室内装饰装修材料释放的甲醛、苯系物等挥发性有机化合物（VOCs）以及室内空间表面滋生的细菌、霉菌等微生物，严重威胁着人民群众的身体健康。尤其在后疫情时代，消费者对室内环境的健康诉求从“无异味”向“主动净化、主动抗菌”加速升级。兼具艺术装饰效果与净化、抗菌、防霉功能于一体的艺术涂料产品应运而生，市场规模持续扩大。然而，这类功能性产品在说明书编制方面存在严重的规范缺失。制定《建材产品使用说明书 防治室内化学与微生物污染的艺术涂料》行业标准，旨在以说明书为抓手，规范企业市场行为，保障消费者的知情权与安全使用权，引导行业从无序扩张走向高质量发展，对于推动健康建材产业发展、保障人民群众居住健康具有重要意义。</w:t>
            </w:r>
          </w:p>
          <w:p w14:paraId="6D124DD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360" w:firstLineChars="200"/>
              <w:textAlignment w:val="auto"/>
              <w:rPr>
                <w:rFonts w:hint="default" w:ascii="宋体" w:hAnsi="宋体" w:eastAsia="宋体" w:cs="宋体"/>
                <w:b w:val="0"/>
                <w:bCs w:val="0"/>
                <w:sz w:val="18"/>
                <w:szCs w:val="18"/>
                <w:lang w:val="en-US" w:eastAsia="zh-CN"/>
              </w:rPr>
            </w:pPr>
            <w:r>
              <w:rPr>
                <w:rFonts w:hint="default" w:ascii="宋体" w:hAnsi="宋体" w:eastAsia="宋体" w:cs="宋体"/>
                <w:b w:val="0"/>
                <w:bCs w:val="0"/>
                <w:sz w:val="18"/>
                <w:szCs w:val="18"/>
                <w:lang w:val="en-US" w:eastAsia="zh-CN"/>
              </w:rPr>
              <w:t>目前，市场上的净化、抗菌类艺术涂料产品说明书水平良莠不齐，引发多重问题。一是功能宣称模糊不清。部分产品简单地标注“净化空气”“抗菌防霉”，但未明确目标污染物种类、净化效率、抗菌率等关键技术指标及所依据的检测标准，消费者无从辨别真伪。二是关键信息缺失。功能性成分的名称、安全特性、持久性年限、功能失效条件等核心信息往往被有意或无意地忽略。例如，某些添加了光催化材料或银离子的产品，未说明其可能的光照依赖性、表面析出风险或使用寿命，给长期安全使用埋下隐患。三是现有标准覆盖不足。现行《建材产品使用说明书 通用要求》为各类建材说明书的编制提供了统一框架，但作为通用标准，其内容侧重于普适性要求，未能针对具有特定健康功能的艺术涂料提出细化、量化的技术内容规定，难以有效约束这类特殊功能产品的说明书质量。因此，亟需在通用要求框架下制定专用产品说明书的细分标准，将产品的功能宣称与科学检测、真实数据强制挂钩，填补监管与规范的空白。</w:t>
            </w:r>
          </w:p>
          <w:p w14:paraId="2ECA4C4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360" w:firstLineChars="200"/>
              <w:textAlignment w:val="auto"/>
              <w:rPr>
                <w:rFonts w:hint="default" w:ascii="宋体" w:hAnsi="宋体" w:eastAsia="宋体" w:cs="宋体"/>
                <w:b w:val="0"/>
                <w:bCs w:val="0"/>
                <w:sz w:val="18"/>
                <w:szCs w:val="18"/>
                <w:lang w:val="en-US" w:eastAsia="zh-CN"/>
              </w:rPr>
            </w:pPr>
            <w:r>
              <w:rPr>
                <w:rFonts w:hint="default" w:ascii="宋体" w:hAnsi="宋体" w:eastAsia="宋体" w:cs="宋体"/>
                <w:b w:val="0"/>
                <w:bCs w:val="0"/>
                <w:sz w:val="18"/>
                <w:szCs w:val="18"/>
                <w:lang w:val="en-US" w:eastAsia="zh-CN"/>
              </w:rPr>
              <w:t>本标准以《建材产品使用说明书 通用要求》为基本架构，重点围绕“防治室内化学与微生物污染”这一核心功能深化和补充编制要求，主要涉及以下方面：一是功能性能的明示与量化，强制要求说明书列明产品净化化学污染物（如甲醛）和抑制/杀灭微生物（如细菌、霉菌）的具体功能指标、持久性数据及其执行标准。二是功能成分的透明度，要求公开为实现功能所添加的关键功能性成分的化学名称或通用名称。三是全环节安全说明，强调对功能性材料潜在风险的警示、施工及使用时的个人防护措施、涂膜清洁维护要求以及功能涂层不被破坏的保护说明。四是功能生命周期管理，要求明确产品功能在正常条件下的预期有效年限，以及超过年限后的性能衰减说明和废弃处置建议。五是配套体系说明，要求明确为保障功能持久性所需使用的配套底漆、中涂、罩面漆等完整体系信息。</w:t>
            </w:r>
          </w:p>
          <w:p w14:paraId="5A7F260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360" w:firstLineChars="200"/>
              <w:textAlignment w:val="auto"/>
              <w:rPr>
                <w:rFonts w:hint="default" w:ascii="宋体" w:hAnsi="宋体" w:eastAsia="宋体" w:cs="宋体"/>
                <w:b w:val="0"/>
                <w:bCs w:val="0"/>
                <w:sz w:val="18"/>
                <w:szCs w:val="18"/>
                <w:lang w:val="en-US" w:eastAsia="zh-CN"/>
              </w:rPr>
            </w:pPr>
            <w:r>
              <w:rPr>
                <w:rFonts w:hint="default" w:ascii="宋体" w:hAnsi="宋体" w:eastAsia="宋体" w:cs="宋体"/>
                <w:b w:val="0"/>
                <w:bCs w:val="0"/>
                <w:sz w:val="18"/>
                <w:szCs w:val="18"/>
                <w:lang w:val="en-US" w:eastAsia="zh-CN"/>
              </w:rPr>
              <w:t>本标准期望通过规范说明书的编制，解决以下突出问题：第一，杜绝功能虚标与概念炒作。通过将说明书中功能声称与技术指标、检测标准强关联，使虚假宣传和不科学宣称无立足之地，形成“有没有功能，数据说了算”的透明市场环境。第二，降低使用安全风险。通过强化功能性成分披露和全流程安全警示，让施工人员、消费者清晰了解涂料成膜后其安全性边界和使用禁忌，例如避免用强腐蚀性化学品擦洗墙面而导致功能层破坏或有害物质析出。第三，保障功能持久有效性。通过要求在说明书中明示功能有效期和配套体系，防止因不当施工（如省略罩面层）或错误维护方式导致功能提前丧失，使消费者能享有与产品声明一致的长期健康保护。第四，促进绿色消费与产业升级。一份科学、完备、透明的说明书，是连接企业技术实力与消费者信任的桥梁，将倒逼生产企业重视技术研发和真实功效，淘汰只靠概念营销的低端产能，推动整个功能型艺术涂料行业走上重技术、重数据、重质量的健康发展道路。</w:t>
            </w:r>
          </w:p>
          <w:p w14:paraId="6BF2A52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360" w:firstLineChars="200"/>
              <w:textAlignment w:val="auto"/>
              <w:rPr>
                <w:rFonts w:hint="eastAsia" w:ascii="宋体" w:hAnsi="宋体" w:eastAsia="宋体" w:cs="宋体"/>
                <w:b w:val="0"/>
                <w:bCs w:val="0"/>
                <w:sz w:val="18"/>
                <w:szCs w:val="18"/>
                <w:lang w:val="en-US" w:eastAsia="zh-CN"/>
              </w:rPr>
            </w:pPr>
          </w:p>
        </w:tc>
      </w:tr>
      <w:tr w14:paraId="78B3E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9" w:hRule="atLeast"/>
          <w:jc w:val="center"/>
        </w:trPr>
        <w:tc>
          <w:tcPr>
            <w:tcW w:w="2167" w:type="dxa"/>
            <w:vAlign w:val="center"/>
          </w:tcPr>
          <w:p w14:paraId="2016E5C4">
            <w:pPr>
              <w:snapToGrid w:val="0"/>
              <w:spacing w:line="360" w:lineRule="auto"/>
              <w:jc w:val="center"/>
              <w:rPr>
                <w:rFonts w:ascii="宋体" w:hAnsi="宋体" w:eastAsia="宋体"/>
                <w:sz w:val="18"/>
                <w:szCs w:val="18"/>
              </w:rPr>
            </w:pPr>
            <w:r>
              <w:rPr>
                <w:rFonts w:hint="eastAsia" w:ascii="宋体" w:hAnsi="宋体" w:eastAsia="宋体"/>
                <w:sz w:val="18"/>
                <w:szCs w:val="18"/>
              </w:rPr>
              <w:t>范围和主要</w:t>
            </w:r>
          </w:p>
          <w:p w14:paraId="7787D5AE">
            <w:pPr>
              <w:snapToGrid w:val="0"/>
              <w:spacing w:line="360" w:lineRule="auto"/>
              <w:jc w:val="center"/>
              <w:rPr>
                <w:rFonts w:ascii="宋体" w:hAnsi="宋体" w:eastAsia="宋体"/>
                <w:sz w:val="18"/>
                <w:szCs w:val="18"/>
              </w:rPr>
            </w:pPr>
            <w:r>
              <w:rPr>
                <w:rFonts w:hint="eastAsia" w:ascii="宋体" w:hAnsi="宋体" w:eastAsia="宋体"/>
                <w:sz w:val="18"/>
                <w:szCs w:val="18"/>
              </w:rPr>
              <w:t>技术内容</w:t>
            </w:r>
          </w:p>
        </w:tc>
        <w:tc>
          <w:tcPr>
            <w:tcW w:w="7573" w:type="dxa"/>
            <w:gridSpan w:val="8"/>
            <w:vAlign w:val="center"/>
          </w:tcPr>
          <w:p w14:paraId="15FE3369">
            <w:pPr>
              <w:snapToGrid w:val="0"/>
              <w:spacing w:line="360" w:lineRule="auto"/>
              <w:ind w:firstLine="360" w:firstLineChars="200"/>
              <w:rPr>
                <w:rFonts w:hint="eastAsia" w:ascii="宋体" w:hAnsi="宋体" w:eastAsia="宋体"/>
                <w:sz w:val="18"/>
                <w:szCs w:val="18"/>
                <w:u w:val="single"/>
              </w:rPr>
            </w:pPr>
            <w:r>
              <w:rPr>
                <w:rFonts w:hint="eastAsia" w:ascii="宋体" w:hAnsi="宋体" w:eastAsia="宋体"/>
                <w:sz w:val="18"/>
                <w:szCs w:val="18"/>
                <w:u w:val="single"/>
              </w:rPr>
              <w:t>标准的技术内容与适用范围；</w:t>
            </w:r>
          </w:p>
          <w:p w14:paraId="2290D8D6">
            <w:pPr>
              <w:keepNext w:val="0"/>
              <w:keepLines w:val="0"/>
              <w:pageBreakBefore w:val="0"/>
              <w:widowControl/>
              <w:kinsoku/>
              <w:wordWrap/>
              <w:overflowPunct/>
              <w:topLinePunct w:val="0"/>
              <w:autoSpaceDE/>
              <w:autoSpaceDN/>
              <w:bidi w:val="0"/>
              <w:adjustRightInd/>
              <w:snapToGrid w:val="0"/>
              <w:spacing w:line="360" w:lineRule="auto"/>
              <w:ind w:firstLine="360" w:firstLineChars="200"/>
              <w:textAlignment w:val="auto"/>
              <w:rPr>
                <w:rFonts w:hint="eastAsia" w:ascii="宋体" w:hAnsi="宋体" w:eastAsia="宋体"/>
                <w:sz w:val="18"/>
                <w:szCs w:val="18"/>
                <w:u w:val="none"/>
                <w:lang w:eastAsia="zh-CN"/>
              </w:rPr>
            </w:pPr>
            <w:r>
              <w:rPr>
                <w:rFonts w:hint="eastAsia" w:ascii="宋体" w:hAnsi="宋体" w:eastAsia="宋体"/>
                <w:sz w:val="18"/>
                <w:szCs w:val="18"/>
                <w:u w:val="none"/>
                <w:lang w:eastAsia="zh-CN"/>
              </w:rPr>
              <w:t>本文件规定了室内健康水性艺术涂料产品使用说明书（以下简称“说明书”）的基本要求、编制要求、主要构成和编写示例。</w:t>
            </w:r>
          </w:p>
          <w:p w14:paraId="0F905F19">
            <w:pPr>
              <w:keepNext w:val="0"/>
              <w:keepLines w:val="0"/>
              <w:pageBreakBefore w:val="0"/>
              <w:widowControl/>
              <w:kinsoku/>
              <w:wordWrap/>
              <w:overflowPunct/>
              <w:topLinePunct w:val="0"/>
              <w:autoSpaceDE/>
              <w:autoSpaceDN/>
              <w:bidi w:val="0"/>
              <w:adjustRightInd/>
              <w:snapToGrid w:val="0"/>
              <w:spacing w:line="360" w:lineRule="auto"/>
              <w:ind w:firstLine="360" w:firstLineChars="200"/>
              <w:textAlignment w:val="auto"/>
              <w:rPr>
                <w:rFonts w:hint="eastAsia" w:ascii="宋体" w:hAnsi="宋体" w:eastAsia="宋体"/>
                <w:sz w:val="18"/>
                <w:szCs w:val="18"/>
                <w:u w:val="none"/>
                <w:lang w:eastAsia="zh-CN"/>
              </w:rPr>
            </w:pPr>
            <w:r>
              <w:rPr>
                <w:rFonts w:hint="eastAsia" w:ascii="宋体" w:hAnsi="宋体" w:eastAsia="宋体"/>
                <w:sz w:val="18"/>
                <w:szCs w:val="18"/>
                <w:u w:val="none"/>
                <w:lang w:eastAsia="zh-CN"/>
              </w:rPr>
              <w:t>本文件适用于具有净化室内甲醛、挥发性有机化合物（VOCs）等化学污染物及/或具有抑制（杀灭）细菌、霉菌、病毒等微生物健康功能的艺术涂料产品使用说明书的编写。</w:t>
            </w:r>
          </w:p>
          <w:p w14:paraId="75D35C34">
            <w:pPr>
              <w:keepNext w:val="0"/>
              <w:keepLines w:val="0"/>
              <w:pageBreakBefore w:val="0"/>
              <w:widowControl/>
              <w:kinsoku/>
              <w:wordWrap/>
              <w:overflowPunct/>
              <w:topLinePunct w:val="0"/>
              <w:autoSpaceDE/>
              <w:autoSpaceDN/>
              <w:bidi w:val="0"/>
              <w:adjustRightInd/>
              <w:snapToGrid w:val="0"/>
              <w:spacing w:line="360" w:lineRule="auto"/>
              <w:ind w:firstLine="360" w:firstLineChars="200"/>
              <w:textAlignment w:val="auto"/>
              <w:rPr>
                <w:rFonts w:hint="default" w:ascii="宋体" w:hAnsi="宋体" w:eastAsia="宋体"/>
                <w:sz w:val="18"/>
                <w:szCs w:val="18"/>
                <w:u w:val="none"/>
                <w:lang w:val="en-US" w:eastAsia="zh-CN"/>
              </w:rPr>
            </w:pPr>
            <w:r>
              <w:rPr>
                <w:rFonts w:hint="eastAsia" w:ascii="宋体" w:hAnsi="宋体" w:eastAsia="宋体"/>
                <w:sz w:val="18"/>
                <w:szCs w:val="18"/>
                <w:u w:val="none"/>
                <w:lang w:val="en-US" w:eastAsia="zh-CN"/>
              </w:rPr>
              <w:t>主要技术内容：</w:t>
            </w:r>
          </w:p>
          <w:p w14:paraId="18D24020">
            <w:pPr>
              <w:keepNext w:val="0"/>
              <w:keepLines w:val="0"/>
              <w:pageBreakBefore w:val="0"/>
              <w:widowControl/>
              <w:numPr>
                <w:ilvl w:val="0"/>
                <w:numId w:val="3"/>
              </w:numPr>
              <w:kinsoku/>
              <w:wordWrap/>
              <w:overflowPunct/>
              <w:topLinePunct w:val="0"/>
              <w:autoSpaceDE/>
              <w:autoSpaceDN/>
              <w:bidi w:val="0"/>
              <w:adjustRightInd/>
              <w:snapToGrid w:val="0"/>
              <w:spacing w:line="360" w:lineRule="auto"/>
              <w:ind w:firstLine="360" w:firstLineChars="200"/>
              <w:textAlignment w:val="auto"/>
              <w:rPr>
                <w:rFonts w:hint="eastAsia" w:ascii="宋体" w:hAnsi="宋体" w:eastAsia="宋体"/>
                <w:sz w:val="18"/>
                <w:szCs w:val="18"/>
                <w:u w:val="none"/>
                <w:lang w:val="en-US" w:eastAsia="zh-CN"/>
              </w:rPr>
            </w:pPr>
            <w:r>
              <w:rPr>
                <w:rFonts w:hint="eastAsia" w:ascii="宋体" w:hAnsi="宋体" w:eastAsia="宋体"/>
                <w:sz w:val="18"/>
                <w:szCs w:val="18"/>
                <w:u w:val="none"/>
                <w:lang w:val="en-US" w:eastAsia="zh-CN"/>
              </w:rPr>
              <w:t>术语和定义：艺术涂料、室内健康功能艺术涂料、净化性能、抗菌性能 、抗病毒性能 、抗霉菌性能等定义。</w:t>
            </w:r>
          </w:p>
          <w:p w14:paraId="63EF80D8">
            <w:pPr>
              <w:keepNext w:val="0"/>
              <w:keepLines w:val="0"/>
              <w:pageBreakBefore w:val="0"/>
              <w:widowControl/>
              <w:numPr>
                <w:ilvl w:val="0"/>
                <w:numId w:val="3"/>
              </w:numPr>
              <w:kinsoku/>
              <w:wordWrap/>
              <w:overflowPunct/>
              <w:topLinePunct w:val="0"/>
              <w:autoSpaceDE/>
              <w:autoSpaceDN/>
              <w:bidi w:val="0"/>
              <w:adjustRightInd/>
              <w:snapToGrid w:val="0"/>
              <w:spacing w:line="360" w:lineRule="auto"/>
              <w:ind w:firstLine="360" w:firstLineChars="200"/>
              <w:textAlignment w:val="auto"/>
              <w:rPr>
                <w:rFonts w:hint="default" w:ascii="宋体" w:hAnsi="宋体" w:eastAsia="宋体"/>
                <w:sz w:val="18"/>
                <w:szCs w:val="18"/>
                <w:u w:val="none"/>
                <w:lang w:val="en-US" w:eastAsia="zh-CN"/>
              </w:rPr>
            </w:pPr>
            <w:r>
              <w:rPr>
                <w:rFonts w:hint="eastAsia" w:ascii="宋体" w:hAnsi="宋体" w:eastAsia="宋体"/>
                <w:sz w:val="18"/>
                <w:szCs w:val="18"/>
                <w:u w:val="none"/>
                <w:lang w:val="en-US" w:eastAsia="zh-CN"/>
              </w:rPr>
              <w:t>基本要求</w:t>
            </w:r>
          </w:p>
          <w:p w14:paraId="3BC3DB40">
            <w:pPr>
              <w:keepNext w:val="0"/>
              <w:keepLines w:val="0"/>
              <w:pageBreakBefore w:val="0"/>
              <w:widowControl/>
              <w:numPr>
                <w:ilvl w:val="0"/>
                <w:numId w:val="3"/>
              </w:numPr>
              <w:kinsoku/>
              <w:wordWrap/>
              <w:overflowPunct/>
              <w:topLinePunct w:val="0"/>
              <w:autoSpaceDE/>
              <w:autoSpaceDN/>
              <w:bidi w:val="0"/>
              <w:adjustRightInd/>
              <w:snapToGrid w:val="0"/>
              <w:spacing w:line="360" w:lineRule="auto"/>
              <w:ind w:firstLine="360" w:firstLineChars="200"/>
              <w:textAlignment w:val="auto"/>
              <w:rPr>
                <w:rFonts w:hint="default" w:ascii="宋体" w:hAnsi="宋体" w:eastAsia="宋体"/>
                <w:sz w:val="18"/>
                <w:szCs w:val="18"/>
                <w:u w:val="none"/>
                <w:lang w:val="en-US" w:eastAsia="zh-CN"/>
              </w:rPr>
            </w:pPr>
            <w:r>
              <w:rPr>
                <w:rFonts w:hint="eastAsia" w:ascii="宋体" w:hAnsi="宋体" w:eastAsia="宋体"/>
                <w:sz w:val="18"/>
                <w:szCs w:val="18"/>
                <w:u w:val="none"/>
                <w:lang w:val="en-US" w:eastAsia="zh-CN"/>
              </w:rPr>
              <w:t>编制要求：说明书应符合 JC/T 2971-2026《建材产品使用说明书 通用要求》第4章的规定。说明书应明确声明产品的核心功能，即对室内化学污染（如甲醛、苯系物等）的净化功能和对微生物污染（如细菌、霉菌等）的抑制/杀灭功能。对于声称具有抗菌、防霉功能的产品，说明书应提供所使用的抗菌/防霉剂成分的有效性、安全性和持久性说明，并应符合国家相关规定。　说明书应列出产品净化性能、抗菌性能和防霉性能所执行的标准及具体技术指标，并明示其持久性指标（如有）。说明书应以显著方式标明产品功能性成分的潜在安全风险，并提供安全说明或警示说明。说明书中应清晰界定产品的适用范围（如适用基材、环境条件等）和不适用范围（如高湿度、长时间浸水等可能导致功能失效或析出风险的场景）。说明书应包含保持和维护产品净化、抗菌、防霉功能的施工、养护及日常清洁方法的指导。说明书应注明在正常使用条件下，产品主要净化、抗菌、防霉功能的预期有效年限，并说明超过有效年限后功能可能衰减的情况及处置建议。　说明书宜包含产品在全生命周期内的环保、低碳特性说明，例如低VOCs含量、可回收包装、生产过程中的节能减排等信息。</w:t>
            </w:r>
          </w:p>
          <w:p w14:paraId="1C0622DF">
            <w:pPr>
              <w:keepNext w:val="0"/>
              <w:keepLines w:val="0"/>
              <w:pageBreakBefore w:val="0"/>
              <w:widowControl/>
              <w:numPr>
                <w:ilvl w:val="0"/>
                <w:numId w:val="3"/>
              </w:numPr>
              <w:kinsoku/>
              <w:wordWrap/>
              <w:overflowPunct/>
              <w:topLinePunct w:val="0"/>
              <w:autoSpaceDE/>
              <w:autoSpaceDN/>
              <w:bidi w:val="0"/>
              <w:adjustRightInd/>
              <w:snapToGrid w:val="0"/>
              <w:spacing w:line="360" w:lineRule="auto"/>
              <w:ind w:firstLine="360" w:firstLineChars="200"/>
              <w:textAlignment w:val="auto"/>
              <w:rPr>
                <w:rFonts w:hint="default" w:ascii="宋体" w:hAnsi="宋体" w:eastAsia="宋体"/>
                <w:sz w:val="18"/>
                <w:szCs w:val="18"/>
                <w:u w:val="none"/>
                <w:lang w:val="en-US" w:eastAsia="zh-CN"/>
              </w:rPr>
            </w:pPr>
            <w:r>
              <w:rPr>
                <w:rFonts w:hint="eastAsia" w:ascii="宋体" w:hAnsi="宋体" w:eastAsia="宋体"/>
                <w:sz w:val="18"/>
                <w:szCs w:val="18"/>
                <w:u w:val="none"/>
                <w:lang w:val="en-US" w:eastAsia="zh-CN"/>
              </w:rPr>
              <w:t>主要构成：标题、标识、版本号和发布日期、主题内容、生产日期等。</w:t>
            </w:r>
          </w:p>
          <w:p w14:paraId="1124F4C2">
            <w:pPr>
              <w:keepNext w:val="0"/>
              <w:keepLines w:val="0"/>
              <w:pageBreakBefore w:val="0"/>
              <w:widowControl/>
              <w:numPr>
                <w:ilvl w:val="0"/>
                <w:numId w:val="3"/>
              </w:numPr>
              <w:kinsoku/>
              <w:wordWrap/>
              <w:overflowPunct/>
              <w:topLinePunct w:val="0"/>
              <w:autoSpaceDE/>
              <w:autoSpaceDN/>
              <w:bidi w:val="0"/>
              <w:adjustRightInd/>
              <w:snapToGrid w:val="0"/>
              <w:spacing w:line="360" w:lineRule="auto"/>
              <w:ind w:firstLine="360" w:firstLineChars="200"/>
              <w:textAlignment w:val="auto"/>
              <w:rPr>
                <w:rFonts w:hint="default" w:ascii="宋体" w:hAnsi="宋体" w:eastAsia="宋体"/>
                <w:sz w:val="18"/>
                <w:szCs w:val="18"/>
                <w:u w:val="none"/>
                <w:lang w:val="en-US" w:eastAsia="zh-CN"/>
              </w:rPr>
            </w:pPr>
            <w:r>
              <w:rPr>
                <w:rFonts w:hint="eastAsia" w:ascii="宋体" w:hAnsi="宋体" w:eastAsia="宋体"/>
                <w:sz w:val="18"/>
                <w:szCs w:val="18"/>
                <w:u w:val="none"/>
                <w:lang w:val="en-US" w:eastAsia="zh-CN"/>
              </w:rPr>
              <w:t>编写示例</w:t>
            </w:r>
          </w:p>
          <w:p w14:paraId="23024652">
            <w:pPr>
              <w:keepNext w:val="0"/>
              <w:keepLines w:val="0"/>
              <w:pageBreakBefore w:val="0"/>
              <w:widowControl/>
              <w:kinsoku/>
              <w:wordWrap/>
              <w:overflowPunct/>
              <w:topLinePunct w:val="0"/>
              <w:autoSpaceDE/>
              <w:autoSpaceDN/>
              <w:bidi w:val="0"/>
              <w:adjustRightInd/>
              <w:snapToGrid w:val="0"/>
              <w:spacing w:line="360" w:lineRule="auto"/>
              <w:ind w:firstLine="360" w:firstLineChars="200"/>
              <w:textAlignment w:val="auto"/>
              <w:rPr>
                <w:rFonts w:hint="eastAsia" w:ascii="宋体" w:hAnsi="宋体" w:eastAsia="宋体"/>
                <w:sz w:val="18"/>
                <w:szCs w:val="18"/>
                <w:u w:val="none"/>
                <w:lang w:val="en-US" w:eastAsia="zh-CN"/>
              </w:rPr>
            </w:pPr>
          </w:p>
        </w:tc>
      </w:tr>
      <w:tr w14:paraId="35163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2167" w:type="dxa"/>
            <w:vAlign w:val="center"/>
          </w:tcPr>
          <w:p w14:paraId="7D419C19">
            <w:pPr>
              <w:snapToGrid w:val="0"/>
              <w:spacing w:line="360" w:lineRule="auto"/>
              <w:jc w:val="center"/>
              <w:rPr>
                <w:rFonts w:ascii="宋体" w:hAnsi="宋体" w:eastAsia="宋体"/>
                <w:sz w:val="18"/>
                <w:szCs w:val="18"/>
              </w:rPr>
            </w:pPr>
            <w:r>
              <w:rPr>
                <w:rFonts w:hint="eastAsia" w:ascii="宋体" w:hAnsi="宋体" w:eastAsia="宋体"/>
                <w:sz w:val="18"/>
                <w:szCs w:val="18"/>
              </w:rPr>
              <w:t>国内外情况</w:t>
            </w:r>
          </w:p>
          <w:p w14:paraId="091F2DE0">
            <w:pPr>
              <w:snapToGrid w:val="0"/>
              <w:spacing w:line="360" w:lineRule="auto"/>
              <w:jc w:val="center"/>
              <w:rPr>
                <w:rFonts w:ascii="宋体" w:hAnsi="宋体" w:eastAsia="宋体"/>
                <w:sz w:val="18"/>
                <w:szCs w:val="18"/>
              </w:rPr>
            </w:pPr>
            <w:r>
              <w:rPr>
                <w:rFonts w:hint="eastAsia" w:ascii="宋体" w:hAnsi="宋体" w:eastAsia="宋体"/>
                <w:sz w:val="18"/>
                <w:szCs w:val="18"/>
              </w:rPr>
              <w:t>简要说明</w:t>
            </w:r>
          </w:p>
        </w:tc>
        <w:tc>
          <w:tcPr>
            <w:tcW w:w="7573" w:type="dxa"/>
            <w:gridSpan w:val="8"/>
            <w:vAlign w:val="center"/>
          </w:tcPr>
          <w:p w14:paraId="27686E47">
            <w:pPr>
              <w:numPr>
                <w:ilvl w:val="0"/>
                <w:numId w:val="4"/>
              </w:numPr>
              <w:snapToGrid w:val="0"/>
              <w:spacing w:line="360" w:lineRule="auto"/>
              <w:rPr>
                <w:rFonts w:hint="eastAsia" w:ascii="宋体" w:hAnsi="宋体" w:eastAsia="宋体"/>
                <w:b/>
                <w:bCs/>
                <w:sz w:val="18"/>
                <w:szCs w:val="18"/>
              </w:rPr>
            </w:pPr>
            <w:r>
              <w:rPr>
                <w:rFonts w:hint="eastAsia" w:ascii="宋体" w:hAnsi="宋体" w:eastAsia="宋体"/>
                <w:b/>
                <w:bCs/>
                <w:sz w:val="18"/>
                <w:szCs w:val="18"/>
                <w:u w:val="single"/>
              </w:rPr>
              <w:t>国内外对该技术研究情况简要说明：</w:t>
            </w:r>
            <w:r>
              <w:rPr>
                <w:rFonts w:hint="eastAsia" w:ascii="宋体" w:hAnsi="宋体" w:eastAsia="宋体"/>
                <w:b/>
                <w:bCs/>
                <w:sz w:val="18"/>
                <w:szCs w:val="18"/>
              </w:rPr>
              <w:t>国内外对该技术研究情况、进程及未来的发展；该技术是否相对稳定，如果不是的话，预计一下技术未来稳定的时间，提出的标准项目是否可作为未来技术发展的基础；</w:t>
            </w:r>
          </w:p>
          <w:p w14:paraId="3F27B564">
            <w:pPr>
              <w:keepNext w:val="0"/>
              <w:keepLines w:val="0"/>
              <w:pageBreakBefore w:val="0"/>
              <w:widowControl w:val="0"/>
              <w:numPr>
                <w:ilvl w:val="0"/>
                <w:numId w:val="5"/>
              </w:numPr>
              <w:kinsoku/>
              <w:wordWrap/>
              <w:overflowPunct/>
              <w:topLinePunct w:val="0"/>
              <w:autoSpaceDE/>
              <w:autoSpaceDN/>
              <w:bidi w:val="0"/>
              <w:adjustRightInd/>
              <w:snapToGrid/>
              <w:spacing w:line="280" w:lineRule="exact"/>
              <w:ind w:leftChars="0" w:firstLine="361" w:firstLineChars="200"/>
              <w:jc w:val="both"/>
              <w:textAlignment w:val="auto"/>
              <w:rPr>
                <w:rFonts w:hint="eastAsia" w:ascii="宋体" w:hAnsi="宋体" w:eastAsia="宋体" w:cs="宋体"/>
                <w:b/>
                <w:bCs/>
                <w:sz w:val="18"/>
                <w:szCs w:val="18"/>
                <w:u w:val="none"/>
                <w:lang w:val="en-US" w:eastAsia="zh-CN"/>
              </w:rPr>
            </w:pPr>
            <w:r>
              <w:rPr>
                <w:rFonts w:hint="eastAsia" w:ascii="宋体" w:hAnsi="宋体" w:eastAsia="宋体" w:cs="宋体"/>
                <w:b/>
                <w:bCs/>
                <w:sz w:val="18"/>
                <w:szCs w:val="18"/>
                <w:u w:val="none"/>
                <w:lang w:val="en-US" w:eastAsia="zh-CN"/>
              </w:rPr>
              <w:t>国内外技术情况</w:t>
            </w:r>
          </w:p>
          <w:p w14:paraId="19FB96DF">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Chars="0" w:firstLine="360" w:firstLineChars="200"/>
              <w:jc w:val="both"/>
              <w:textAlignment w:val="auto"/>
              <w:rPr>
                <w:rFonts w:hint="default" w:ascii="宋体" w:hAnsi="宋体" w:eastAsia="宋体" w:cs="宋体"/>
                <w:sz w:val="18"/>
                <w:szCs w:val="18"/>
                <w:u w:val="none"/>
                <w:lang w:val="en-US" w:eastAsia="zh-CN"/>
              </w:rPr>
            </w:pPr>
            <w:r>
              <w:rPr>
                <w:rFonts w:hint="eastAsia" w:ascii="宋体" w:hAnsi="宋体" w:eastAsia="宋体" w:cs="宋体"/>
                <w:sz w:val="18"/>
                <w:szCs w:val="18"/>
                <w:u w:val="none"/>
                <w:lang w:val="en-US" w:eastAsia="zh-CN"/>
              </w:rPr>
              <w:t>室内健康水性艺术</w:t>
            </w:r>
            <w:r>
              <w:rPr>
                <w:rFonts w:hint="default" w:ascii="宋体" w:hAnsi="宋体" w:eastAsia="宋体" w:cs="宋体"/>
                <w:sz w:val="18"/>
                <w:szCs w:val="18"/>
                <w:u w:val="none"/>
                <w:lang w:val="en-US" w:eastAsia="zh-CN"/>
              </w:rPr>
              <w:t>涂料技术起源于20世纪90年代，日本率先将纳米二氧化钛光催化技术应用于室内净化涂料，通过光催化反应将甲醛等有机污染物分解为无害的二氧化碳和水。此后，欧美国家主要围绕银离子、铜离子、季铵盐等无机和有机抗菌剂的涂膜应用展开研究。进入21世纪，国内科研院所和企业迅速跟进，在光催化材料改性、可见光响应拓展、复合抗菌防霉体系等方面取得显著进展。目前，该技术已从单一净化或抗菌功能向“净化+抗菌+防霉+艺术装饰”多功能复合方向迭代升级，硅藻土吸附、活性炭负载、石墨烯复合等新材料技术不断融入。未来发展趋势集中在以下方向：一是功能持久性提升，开发长效、缓释、耐老化的功能添加剂体系；二是安全性和生物相容性优化，降低纳米材料等潜在析出风险；三是功能评价方法由单一实验室加速测试向与实际使用环境关联的长期服役性能评估发展；四是产品全生命周期绿色化，包括低碳生产、可回收包装等。</w:t>
            </w:r>
          </w:p>
          <w:p w14:paraId="5322B1F9">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Chars="200"/>
              <w:jc w:val="both"/>
              <w:textAlignment w:val="auto"/>
              <w:rPr>
                <w:rFonts w:hint="default" w:ascii="宋体" w:hAnsi="宋体" w:eastAsia="宋体" w:cs="宋体"/>
                <w:b/>
                <w:bCs/>
                <w:sz w:val="18"/>
                <w:szCs w:val="18"/>
                <w:u w:val="none"/>
                <w:lang w:val="en-US" w:eastAsia="zh-CN"/>
              </w:rPr>
            </w:pPr>
            <w:r>
              <w:rPr>
                <w:rFonts w:hint="eastAsia" w:ascii="宋体" w:hAnsi="宋体" w:eastAsia="宋体" w:cs="宋体"/>
                <w:b/>
                <w:bCs/>
                <w:sz w:val="18"/>
                <w:szCs w:val="18"/>
                <w:u w:val="none"/>
                <w:lang w:val="en-US" w:eastAsia="zh-CN"/>
              </w:rPr>
              <w:t>（2）技术稳定性判断</w:t>
            </w:r>
          </w:p>
          <w:p w14:paraId="088F4920">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Chars="0" w:firstLine="360" w:firstLineChars="200"/>
              <w:jc w:val="both"/>
              <w:textAlignment w:val="auto"/>
              <w:rPr>
                <w:rFonts w:hint="default" w:ascii="宋体" w:hAnsi="宋体" w:eastAsia="宋体" w:cs="宋体"/>
                <w:sz w:val="18"/>
                <w:szCs w:val="18"/>
                <w:u w:val="none"/>
                <w:lang w:val="en-US" w:eastAsia="zh-CN"/>
              </w:rPr>
            </w:pPr>
            <w:r>
              <w:rPr>
                <w:rFonts w:hint="default" w:ascii="宋体" w:hAnsi="宋体" w:eastAsia="宋体" w:cs="宋体"/>
                <w:sz w:val="18"/>
                <w:szCs w:val="18"/>
                <w:u w:val="none"/>
                <w:lang w:val="en-US" w:eastAsia="zh-CN"/>
              </w:rPr>
              <w:t>总体而言，以光催化降解有机物和无机银离子/锌离子抗菌防霉为核心的两大技术路线已相对成熟和稳定。甲醛净化效率达85%以上、抗菌率达99.9%以上的产品已实现规模化生产和工程应用，相关检测方法已纳入JC/T 1074、HG/T 3950等现行标准。技术稳定性体现在：基础材料体系（水性丙烯酸、硅丙乳液等）已成熟，功能性添加剂的制备与分散工艺趋于规范，产品在正常施工养护条件下的功能有效性已得到多年实际工程验证。然而，在功能持久性评价方法、复杂环境因素（温度、湿度、光照、污染物浓度等）耦合作用下的性能衰减规律等方面，仍需持续深入研究。预计该领域技术在未来3-5年内将保持相对稳定，主要优化方向集中于性能提升和成本降低，而非颠覆性技术替代。</w:t>
            </w:r>
          </w:p>
          <w:p w14:paraId="269E4A08">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Chars="200"/>
              <w:jc w:val="both"/>
              <w:textAlignment w:val="auto"/>
              <w:rPr>
                <w:rFonts w:hint="eastAsia" w:ascii="宋体" w:hAnsi="宋体" w:eastAsia="宋体" w:cs="宋体"/>
                <w:b/>
                <w:bCs/>
                <w:sz w:val="18"/>
                <w:szCs w:val="18"/>
                <w:u w:val="none"/>
                <w:lang w:val="en-US" w:eastAsia="zh-CN"/>
              </w:rPr>
            </w:pPr>
            <w:r>
              <w:rPr>
                <w:rFonts w:hint="eastAsia" w:ascii="宋体" w:hAnsi="宋体" w:eastAsia="宋体" w:cs="宋体"/>
                <w:b/>
                <w:bCs/>
                <w:sz w:val="18"/>
                <w:szCs w:val="18"/>
                <w:u w:val="none"/>
                <w:lang w:val="en-US" w:eastAsia="zh-CN"/>
              </w:rPr>
              <w:t>（3）标准项目作为未来技术发展基础的可行性</w:t>
            </w:r>
          </w:p>
          <w:p w14:paraId="04706AF2">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Chars="0" w:firstLine="360" w:firstLineChars="200"/>
              <w:jc w:val="both"/>
              <w:textAlignment w:val="auto"/>
              <w:rPr>
                <w:rFonts w:hint="default" w:ascii="宋体" w:hAnsi="宋体" w:eastAsia="宋体" w:cs="宋体"/>
                <w:sz w:val="18"/>
                <w:szCs w:val="18"/>
                <w:u w:val="none"/>
                <w:lang w:val="en-US" w:eastAsia="zh-CN"/>
              </w:rPr>
            </w:pPr>
            <w:r>
              <w:rPr>
                <w:rFonts w:hint="default" w:ascii="宋体" w:hAnsi="宋体" w:eastAsia="宋体" w:cs="宋体"/>
                <w:sz w:val="18"/>
                <w:szCs w:val="18"/>
                <w:u w:val="none"/>
                <w:lang w:val="en-US" w:eastAsia="zh-CN"/>
              </w:rPr>
              <w:t>本标准项目的提出，定位为产品使用说明书的编制规范，而非产品性能指标标准，因此不受具体技术路线快速更迭的影响。标准聚焦于将产品的功能宣称、技术指标、安全信息和使用指导以标准化方式呈现，本质上是建立一套“功能型艺术涂料信息透明化的通用规则”。这一规则具有显著的前瞻性和包容性：无论未来功能材料如何创新（如新型光催化剂、生物基抗菌剂等），也无论性能指标如何提升，只要产品声称具有“</w:t>
            </w:r>
            <w:r>
              <w:rPr>
                <w:rFonts w:hint="eastAsia" w:ascii="宋体" w:hAnsi="宋体" w:eastAsia="宋体" w:cs="宋体"/>
                <w:sz w:val="18"/>
                <w:szCs w:val="18"/>
                <w:u w:val="none"/>
                <w:lang w:val="en-US" w:eastAsia="zh-CN"/>
              </w:rPr>
              <w:t>室内健康</w:t>
            </w:r>
            <w:r>
              <w:rPr>
                <w:rFonts w:hint="default" w:ascii="宋体" w:hAnsi="宋体" w:eastAsia="宋体" w:cs="宋体"/>
                <w:sz w:val="18"/>
                <w:szCs w:val="18"/>
                <w:u w:val="none"/>
                <w:lang w:val="en-US" w:eastAsia="zh-CN"/>
              </w:rPr>
              <w:t>”功能，就必须遵循本标准要求在说明书中明示功能类型、量化指标、检测标准、安全警示及有效期等信息。因此，本标准项目不仅适用于当前技术现状，更可作为未来相当长时期内各类新型功能性艺术涂料说明书编制的基础框架，对引导行业规范发展、促进技术有序迭代具有重要的基础性支撑作用。</w:t>
            </w:r>
          </w:p>
          <w:p w14:paraId="45C3C6FD">
            <w:pPr>
              <w:numPr>
                <w:ilvl w:val="0"/>
                <w:numId w:val="4"/>
              </w:numPr>
              <w:snapToGrid w:val="0"/>
              <w:spacing w:line="360" w:lineRule="auto"/>
              <w:ind w:left="0" w:leftChars="0" w:firstLine="0" w:firstLineChars="0"/>
              <w:rPr>
                <w:rFonts w:hint="eastAsia" w:ascii="宋体" w:hAnsi="宋体" w:eastAsia="宋体"/>
                <w:b/>
                <w:bCs/>
                <w:color w:val="auto"/>
                <w:sz w:val="18"/>
                <w:szCs w:val="18"/>
              </w:rPr>
            </w:pPr>
            <w:r>
              <w:rPr>
                <w:rFonts w:hint="eastAsia" w:ascii="宋体" w:hAnsi="宋体" w:eastAsia="宋体"/>
                <w:b/>
                <w:bCs/>
                <w:sz w:val="18"/>
                <w:szCs w:val="18"/>
                <w:u w:val="single"/>
              </w:rPr>
              <w:t>项目与国际标准或国外先进标准采用程度的考虑：</w:t>
            </w:r>
            <w:r>
              <w:rPr>
                <w:rFonts w:hint="eastAsia" w:ascii="宋体" w:hAnsi="宋体" w:eastAsia="宋体"/>
                <w:b/>
                <w:bCs/>
                <w:sz w:val="18"/>
                <w:szCs w:val="18"/>
              </w:rPr>
              <w:t>该标准项目是否有对应的国际标准或国外先进标</w:t>
            </w:r>
            <w:r>
              <w:rPr>
                <w:rFonts w:hint="eastAsia" w:ascii="宋体" w:hAnsi="宋体" w:eastAsia="宋体"/>
                <w:b/>
                <w:bCs/>
                <w:color w:val="auto"/>
                <w:sz w:val="18"/>
                <w:szCs w:val="18"/>
              </w:rPr>
              <w:t>准，标准制定过程中如何考虑采用的问题；</w:t>
            </w:r>
          </w:p>
          <w:p w14:paraId="128DD10E">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firstLine="360" w:firstLineChars="200"/>
              <w:textAlignment w:val="auto"/>
              <w:rPr>
                <w:rFonts w:hint="default" w:ascii="宋体" w:hAnsi="宋体" w:eastAsia="宋体"/>
                <w:color w:val="auto"/>
                <w:sz w:val="18"/>
                <w:szCs w:val="18"/>
                <w:lang w:val="en-US" w:eastAsia="zh-CN"/>
              </w:rPr>
            </w:pPr>
            <w:r>
              <w:rPr>
                <w:rFonts w:hint="eastAsia" w:ascii="宋体" w:hAnsi="宋体" w:eastAsia="宋体"/>
                <w:color w:val="auto"/>
                <w:sz w:val="18"/>
                <w:szCs w:val="18"/>
                <w:lang w:val="en-US" w:eastAsia="zh-CN"/>
              </w:rPr>
              <w:t>经查，该标准没有对应的国际标准，故本项目不涉及采用国际或国外先进标准的问题。</w:t>
            </w:r>
          </w:p>
          <w:p w14:paraId="73C4210E">
            <w:pPr>
              <w:numPr>
                <w:ilvl w:val="0"/>
                <w:numId w:val="4"/>
              </w:numPr>
              <w:snapToGrid w:val="0"/>
              <w:spacing w:line="360" w:lineRule="auto"/>
              <w:ind w:left="0" w:leftChars="0" w:firstLine="0" w:firstLineChars="0"/>
              <w:rPr>
                <w:rFonts w:hint="eastAsia" w:ascii="宋体" w:hAnsi="宋体" w:eastAsia="宋体"/>
                <w:b/>
                <w:bCs/>
                <w:color w:val="auto"/>
                <w:sz w:val="18"/>
                <w:szCs w:val="18"/>
              </w:rPr>
            </w:pPr>
            <w:r>
              <w:rPr>
                <w:rFonts w:hint="eastAsia" w:ascii="宋体" w:hAnsi="宋体" w:eastAsia="宋体"/>
                <w:b/>
                <w:bCs/>
                <w:color w:val="auto"/>
                <w:sz w:val="18"/>
                <w:szCs w:val="18"/>
                <w:u w:val="single"/>
              </w:rPr>
              <w:t>与国内相关标准间的关系：</w:t>
            </w:r>
            <w:r>
              <w:rPr>
                <w:rFonts w:hint="eastAsia" w:ascii="宋体" w:hAnsi="宋体" w:eastAsia="宋体"/>
                <w:b/>
                <w:bCs/>
                <w:color w:val="auto"/>
                <w:sz w:val="18"/>
                <w:szCs w:val="18"/>
              </w:rPr>
              <w:t>该标准项目是否有相关的国家或行业标准，该标准项目与这些标准是什么关系，该标准项目在标准体系中的位置；</w:t>
            </w:r>
          </w:p>
          <w:p w14:paraId="6D65F21A">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firstLine="361" w:firstLineChars="200"/>
              <w:textAlignment w:val="auto"/>
              <w:rPr>
                <w:rFonts w:hint="eastAsia" w:ascii="Segoe UI" w:hAnsi="Segoe UI" w:eastAsia="Segoe UI" w:cs="Segoe UI"/>
                <w:i w:val="0"/>
                <w:iCs w:val="0"/>
                <w:caps w:val="0"/>
                <w:color w:val="0F1115"/>
                <w:spacing w:val="0"/>
                <w:sz w:val="18"/>
                <w:szCs w:val="18"/>
                <w:shd w:val="clear" w:fill="FFFFFF"/>
              </w:rPr>
            </w:pPr>
            <w:r>
              <w:rPr>
                <w:rFonts w:hint="eastAsia" w:ascii="Segoe UI" w:hAnsi="Segoe UI" w:eastAsia="宋体" w:cs="Segoe UI"/>
                <w:b/>
                <w:bCs/>
                <w:i w:val="0"/>
                <w:iCs w:val="0"/>
                <w:caps w:val="0"/>
                <w:color w:val="0F1115"/>
                <w:spacing w:val="0"/>
                <w:sz w:val="18"/>
                <w:szCs w:val="18"/>
                <w:shd w:val="clear" w:fill="FFFFFF"/>
                <w:lang w:eastAsia="zh-CN"/>
              </w:rPr>
              <w:t>（</w:t>
            </w:r>
            <w:r>
              <w:rPr>
                <w:rFonts w:hint="eastAsia" w:ascii="Segoe UI" w:hAnsi="Segoe UI" w:eastAsia="Segoe UI" w:cs="Segoe UI"/>
                <w:b/>
                <w:bCs/>
                <w:i w:val="0"/>
                <w:iCs w:val="0"/>
                <w:caps w:val="0"/>
                <w:color w:val="0F1115"/>
                <w:spacing w:val="0"/>
                <w:sz w:val="18"/>
                <w:szCs w:val="18"/>
                <w:shd w:val="clear" w:fill="FFFFFF"/>
              </w:rPr>
              <w:t>一</w:t>
            </w:r>
            <w:r>
              <w:rPr>
                <w:rFonts w:hint="eastAsia" w:ascii="Segoe UI" w:hAnsi="Segoe UI" w:eastAsia="宋体" w:cs="Segoe UI"/>
                <w:b/>
                <w:bCs/>
                <w:i w:val="0"/>
                <w:iCs w:val="0"/>
                <w:caps w:val="0"/>
                <w:color w:val="0F1115"/>
                <w:spacing w:val="0"/>
                <w:sz w:val="18"/>
                <w:szCs w:val="18"/>
                <w:shd w:val="clear" w:fill="FFFFFF"/>
                <w:lang w:eastAsia="zh-CN"/>
              </w:rPr>
              <w:t>）</w:t>
            </w:r>
            <w:r>
              <w:rPr>
                <w:rFonts w:hint="eastAsia" w:ascii="Segoe UI" w:hAnsi="Segoe UI" w:eastAsia="Segoe UI" w:cs="Segoe UI"/>
                <w:b/>
                <w:bCs/>
                <w:i w:val="0"/>
                <w:iCs w:val="0"/>
                <w:caps w:val="0"/>
                <w:color w:val="0F1115"/>
                <w:spacing w:val="0"/>
                <w:sz w:val="18"/>
                <w:szCs w:val="18"/>
                <w:shd w:val="clear" w:fill="FFFFFF"/>
              </w:rPr>
              <w:t>、与现行相关标准的关系概述</w:t>
            </w:r>
          </w:p>
          <w:p w14:paraId="2E4843FF">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firstLine="360" w:firstLineChars="200"/>
              <w:textAlignment w:val="auto"/>
              <w:rPr>
                <w:rFonts w:hint="eastAsia" w:ascii="Segoe UI" w:hAnsi="Segoe UI" w:eastAsia="Segoe UI" w:cs="Segoe UI"/>
                <w:i w:val="0"/>
                <w:iCs w:val="0"/>
                <w:caps w:val="0"/>
                <w:color w:val="0F1115"/>
                <w:spacing w:val="0"/>
                <w:sz w:val="18"/>
                <w:szCs w:val="18"/>
                <w:shd w:val="clear" w:fill="FFFFFF"/>
              </w:rPr>
            </w:pPr>
            <w:r>
              <w:rPr>
                <w:rFonts w:hint="eastAsia" w:ascii="Segoe UI" w:hAnsi="Segoe UI" w:eastAsia="Segoe UI" w:cs="Segoe UI"/>
                <w:i w:val="0"/>
                <w:iCs w:val="0"/>
                <w:caps w:val="0"/>
                <w:color w:val="0F1115"/>
                <w:spacing w:val="0"/>
                <w:sz w:val="18"/>
                <w:szCs w:val="18"/>
                <w:shd w:val="clear" w:fill="FFFFFF"/>
              </w:rPr>
              <w:t>本标准项目与现行国内标准体系呈“上位遵循—横向协同—专项细化”的关系格局，既不与任何现行标准冲突或重复，又在细分领域填补了标准体系的空白。</w:t>
            </w:r>
          </w:p>
          <w:p w14:paraId="64305BB2">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firstLine="361" w:firstLineChars="200"/>
              <w:textAlignment w:val="auto"/>
              <w:rPr>
                <w:rFonts w:hint="eastAsia" w:ascii="Segoe UI" w:hAnsi="Segoe UI" w:eastAsia="Segoe UI" w:cs="Segoe UI"/>
                <w:i w:val="0"/>
                <w:iCs w:val="0"/>
                <w:caps w:val="0"/>
                <w:color w:val="0F1115"/>
                <w:spacing w:val="0"/>
                <w:sz w:val="18"/>
                <w:szCs w:val="18"/>
                <w:shd w:val="clear" w:fill="FFFFFF"/>
              </w:rPr>
            </w:pPr>
            <w:r>
              <w:rPr>
                <w:rFonts w:hint="eastAsia" w:ascii="Segoe UI" w:hAnsi="Segoe UI" w:eastAsia="宋体" w:cs="Segoe UI"/>
                <w:b/>
                <w:bCs/>
                <w:i w:val="0"/>
                <w:iCs w:val="0"/>
                <w:caps w:val="0"/>
                <w:color w:val="0F1115"/>
                <w:spacing w:val="0"/>
                <w:sz w:val="18"/>
                <w:szCs w:val="18"/>
                <w:shd w:val="clear" w:fill="FFFFFF"/>
                <w:lang w:eastAsia="zh-CN"/>
              </w:rPr>
              <w:t>（</w:t>
            </w:r>
            <w:r>
              <w:rPr>
                <w:rFonts w:hint="eastAsia" w:ascii="Segoe UI" w:hAnsi="Segoe UI" w:eastAsia="Segoe UI" w:cs="Segoe UI"/>
                <w:b/>
                <w:bCs/>
                <w:i w:val="0"/>
                <w:iCs w:val="0"/>
                <w:caps w:val="0"/>
                <w:color w:val="0F1115"/>
                <w:spacing w:val="0"/>
                <w:sz w:val="18"/>
                <w:szCs w:val="18"/>
                <w:shd w:val="clear" w:fill="FFFFFF"/>
              </w:rPr>
              <w:t>二</w:t>
            </w:r>
            <w:r>
              <w:rPr>
                <w:rFonts w:hint="eastAsia" w:ascii="Segoe UI" w:hAnsi="Segoe UI" w:eastAsia="宋体" w:cs="Segoe UI"/>
                <w:b/>
                <w:bCs/>
                <w:i w:val="0"/>
                <w:iCs w:val="0"/>
                <w:caps w:val="0"/>
                <w:color w:val="0F1115"/>
                <w:spacing w:val="0"/>
                <w:sz w:val="18"/>
                <w:szCs w:val="18"/>
                <w:shd w:val="clear" w:fill="FFFFFF"/>
                <w:lang w:eastAsia="zh-CN"/>
              </w:rPr>
              <w:t>）</w:t>
            </w:r>
            <w:r>
              <w:rPr>
                <w:rFonts w:hint="eastAsia" w:ascii="Segoe UI" w:hAnsi="Segoe UI" w:eastAsia="Segoe UI" w:cs="Segoe UI"/>
                <w:b/>
                <w:bCs/>
                <w:i w:val="0"/>
                <w:iCs w:val="0"/>
                <w:caps w:val="0"/>
                <w:color w:val="0F1115"/>
                <w:spacing w:val="0"/>
                <w:sz w:val="18"/>
                <w:szCs w:val="18"/>
                <w:shd w:val="clear" w:fill="FFFFFF"/>
              </w:rPr>
              <w:t>、与上位通用标准的关系</w:t>
            </w:r>
          </w:p>
          <w:p w14:paraId="3337E7FD">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firstLine="360" w:firstLineChars="200"/>
              <w:textAlignment w:val="auto"/>
              <w:rPr>
                <w:rFonts w:hint="eastAsia" w:ascii="Segoe UI" w:hAnsi="Segoe UI" w:eastAsia="Segoe UI" w:cs="Segoe UI"/>
                <w:i w:val="0"/>
                <w:iCs w:val="0"/>
                <w:caps w:val="0"/>
                <w:color w:val="0F1115"/>
                <w:spacing w:val="0"/>
                <w:sz w:val="18"/>
                <w:szCs w:val="18"/>
                <w:shd w:val="clear" w:fill="FFFFFF"/>
              </w:rPr>
            </w:pPr>
            <w:r>
              <w:rPr>
                <w:rFonts w:hint="eastAsia" w:ascii="Segoe UI" w:hAnsi="Segoe UI" w:eastAsia="Segoe UI" w:cs="Segoe UI"/>
                <w:i w:val="0"/>
                <w:iCs w:val="0"/>
                <w:caps w:val="0"/>
                <w:color w:val="0F1115"/>
                <w:spacing w:val="0"/>
                <w:sz w:val="18"/>
                <w:szCs w:val="18"/>
                <w:shd w:val="clear" w:fill="FFFFFF"/>
              </w:rPr>
              <w:t>本标准项目的直接上位文件为《建材产品使用说明书 通用要求》。该通用要求规定了建材产品说明书的普适性框架，包括基本要求、编制要求及主要构成的通用条款。本标准严格遵循其架构，并在此基础上针对“防治室内化学与微生物污染的艺术涂料”这一特定功能产品的说明书编制进行专项深化和补充。具体而言，本标准在“基本要求”中增加了功能声明、成分披露、有效期标注等针对性条款；在“主要构成”部分，将“产品特性”扩展至净化性能、抗菌性能、防霉性能等具体功能指标的明示要求，在“用途与使用”中细化了功能持久性维护的施工及养护指导。两标准之间为“通用规则—专用细则”的层级配合关系。</w:t>
            </w:r>
          </w:p>
          <w:p w14:paraId="6724E53E">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firstLine="361" w:firstLineChars="200"/>
              <w:textAlignment w:val="auto"/>
              <w:rPr>
                <w:rFonts w:hint="eastAsia" w:ascii="Segoe UI" w:hAnsi="Segoe UI" w:eastAsia="Segoe UI" w:cs="Segoe UI"/>
                <w:i w:val="0"/>
                <w:iCs w:val="0"/>
                <w:caps w:val="0"/>
                <w:color w:val="0F1115"/>
                <w:spacing w:val="0"/>
                <w:sz w:val="18"/>
                <w:szCs w:val="18"/>
                <w:shd w:val="clear" w:fill="FFFFFF"/>
              </w:rPr>
            </w:pPr>
            <w:r>
              <w:rPr>
                <w:rFonts w:hint="eastAsia" w:ascii="Segoe UI" w:hAnsi="Segoe UI" w:eastAsia="宋体" w:cs="Segoe UI"/>
                <w:b/>
                <w:bCs/>
                <w:i w:val="0"/>
                <w:iCs w:val="0"/>
                <w:caps w:val="0"/>
                <w:color w:val="0F1115"/>
                <w:spacing w:val="0"/>
                <w:sz w:val="18"/>
                <w:szCs w:val="18"/>
                <w:shd w:val="clear" w:fill="FFFFFF"/>
                <w:lang w:eastAsia="zh-CN"/>
              </w:rPr>
              <w:t>（</w:t>
            </w:r>
            <w:r>
              <w:rPr>
                <w:rFonts w:hint="eastAsia" w:ascii="Segoe UI" w:hAnsi="Segoe UI" w:eastAsia="宋体" w:cs="Segoe UI"/>
                <w:b/>
                <w:bCs/>
                <w:i w:val="0"/>
                <w:iCs w:val="0"/>
                <w:caps w:val="0"/>
                <w:color w:val="0F1115"/>
                <w:spacing w:val="0"/>
                <w:sz w:val="18"/>
                <w:szCs w:val="18"/>
                <w:shd w:val="clear" w:fill="FFFFFF"/>
                <w:lang w:val="en-US" w:eastAsia="zh-CN"/>
              </w:rPr>
              <w:t>三</w:t>
            </w:r>
            <w:r>
              <w:rPr>
                <w:rFonts w:hint="eastAsia" w:ascii="Segoe UI" w:hAnsi="Segoe UI" w:eastAsia="宋体" w:cs="Segoe UI"/>
                <w:b/>
                <w:bCs/>
                <w:i w:val="0"/>
                <w:iCs w:val="0"/>
                <w:caps w:val="0"/>
                <w:color w:val="0F1115"/>
                <w:spacing w:val="0"/>
                <w:sz w:val="18"/>
                <w:szCs w:val="18"/>
                <w:shd w:val="clear" w:fill="FFFFFF"/>
                <w:lang w:eastAsia="zh-CN"/>
              </w:rPr>
              <w:t>）</w:t>
            </w:r>
            <w:r>
              <w:rPr>
                <w:rFonts w:hint="eastAsia" w:ascii="Segoe UI" w:hAnsi="Segoe UI" w:eastAsia="Segoe UI" w:cs="Segoe UI"/>
                <w:b/>
                <w:bCs/>
                <w:i w:val="0"/>
                <w:iCs w:val="0"/>
                <w:caps w:val="0"/>
                <w:color w:val="0F1115"/>
                <w:spacing w:val="0"/>
                <w:sz w:val="18"/>
                <w:szCs w:val="18"/>
                <w:shd w:val="clear" w:fill="FFFFFF"/>
              </w:rPr>
              <w:t>与相关产品性能标准的关系</w:t>
            </w:r>
          </w:p>
          <w:p w14:paraId="167DF1FE">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firstLine="360" w:firstLineChars="200"/>
              <w:textAlignment w:val="auto"/>
              <w:rPr>
                <w:rFonts w:hint="eastAsia" w:ascii="Segoe UI" w:hAnsi="Segoe UI" w:eastAsia="Segoe UI" w:cs="Segoe UI"/>
                <w:i w:val="0"/>
                <w:iCs w:val="0"/>
                <w:caps w:val="0"/>
                <w:color w:val="0F1115"/>
                <w:spacing w:val="0"/>
                <w:sz w:val="18"/>
                <w:szCs w:val="18"/>
                <w:shd w:val="clear" w:fill="FFFFFF"/>
              </w:rPr>
            </w:pPr>
            <w:r>
              <w:rPr>
                <w:rFonts w:hint="eastAsia" w:ascii="Segoe UI" w:hAnsi="Segoe UI" w:eastAsia="Segoe UI" w:cs="Segoe UI"/>
                <w:i w:val="0"/>
                <w:iCs w:val="0"/>
                <w:caps w:val="0"/>
                <w:color w:val="0F1115"/>
                <w:spacing w:val="0"/>
                <w:sz w:val="18"/>
                <w:szCs w:val="18"/>
                <w:shd w:val="clear" w:fill="FFFFFF"/>
              </w:rPr>
              <w:t>在功能型涂料领域，已有多项现行国家和行业标准对产品性能指标和检测方法作出规定，主要包括：</w:t>
            </w:r>
          </w:p>
          <w:p w14:paraId="710A9CDB">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firstLine="360" w:firstLineChars="200"/>
              <w:textAlignment w:val="auto"/>
              <w:rPr>
                <w:rFonts w:hint="default" w:ascii="Segoe UI" w:hAnsi="Segoe UI" w:eastAsia="宋体" w:cs="Segoe UI"/>
                <w:i w:val="0"/>
                <w:iCs w:val="0"/>
                <w:caps w:val="0"/>
                <w:color w:val="0F1115"/>
                <w:spacing w:val="0"/>
                <w:sz w:val="18"/>
                <w:szCs w:val="18"/>
                <w:shd w:val="clear" w:fill="FFFFFF"/>
                <w:lang w:val="en-US" w:eastAsia="zh-CN"/>
              </w:rPr>
            </w:pPr>
            <w:r>
              <w:rPr>
                <w:rFonts w:hint="eastAsia" w:ascii="Segoe UI" w:hAnsi="Segoe UI" w:eastAsia="宋体" w:cs="Segoe UI"/>
                <w:i w:val="0"/>
                <w:iCs w:val="0"/>
                <w:caps w:val="0"/>
                <w:color w:val="0F1115"/>
                <w:spacing w:val="0"/>
                <w:sz w:val="18"/>
                <w:szCs w:val="18"/>
                <w:shd w:val="clear" w:fill="FFFFFF"/>
                <w:lang w:val="en-US" w:eastAsia="zh-CN"/>
              </w:rPr>
              <w:t>T/CBMF 307-2025《健康建材 室内用水性艺术涂料》标准，是本标准对应的产品标准。</w:t>
            </w:r>
          </w:p>
          <w:p w14:paraId="26C706DA">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firstLine="360" w:firstLineChars="200"/>
              <w:textAlignment w:val="auto"/>
              <w:rPr>
                <w:rFonts w:hint="eastAsia" w:ascii="Segoe UI" w:hAnsi="Segoe UI" w:eastAsia="Segoe UI" w:cs="Segoe UI"/>
                <w:i w:val="0"/>
                <w:iCs w:val="0"/>
                <w:caps w:val="0"/>
                <w:color w:val="0F1115"/>
                <w:spacing w:val="0"/>
                <w:sz w:val="18"/>
                <w:szCs w:val="18"/>
                <w:shd w:val="clear" w:fill="FFFFFF"/>
              </w:rPr>
            </w:pPr>
            <w:r>
              <w:rPr>
                <w:rFonts w:hint="eastAsia" w:ascii="Segoe UI" w:hAnsi="Segoe UI" w:eastAsia="Segoe UI" w:cs="Segoe UI"/>
                <w:i w:val="0"/>
                <w:iCs w:val="0"/>
                <w:caps w:val="0"/>
                <w:color w:val="0F1115"/>
                <w:spacing w:val="0"/>
                <w:sz w:val="18"/>
                <w:szCs w:val="18"/>
                <w:shd w:val="clear" w:fill="FFFFFF"/>
              </w:rPr>
              <w:t>GB 18582—2020《建筑用墙面涂料中有害物质限量》：规定了涂料产品中有害物质的限量要求。本标准在“安全特性”章节中引用该标准，要求说明书中明示产品有害物质限量的符合情况。</w:t>
            </w:r>
          </w:p>
          <w:p w14:paraId="6048C94C">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firstLine="360" w:firstLineChars="200"/>
              <w:textAlignment w:val="auto"/>
              <w:rPr>
                <w:rFonts w:hint="eastAsia" w:ascii="Segoe UI" w:hAnsi="Segoe UI" w:eastAsia="Segoe UI" w:cs="Segoe UI"/>
                <w:i w:val="0"/>
                <w:iCs w:val="0"/>
                <w:caps w:val="0"/>
                <w:color w:val="0F1115"/>
                <w:spacing w:val="0"/>
                <w:sz w:val="18"/>
                <w:szCs w:val="18"/>
                <w:shd w:val="clear" w:fill="FFFFFF"/>
              </w:rPr>
            </w:pPr>
            <w:r>
              <w:rPr>
                <w:rFonts w:hint="eastAsia" w:ascii="Segoe UI" w:hAnsi="Segoe UI" w:eastAsia="Segoe UI" w:cs="Segoe UI"/>
                <w:i w:val="0"/>
                <w:iCs w:val="0"/>
                <w:caps w:val="0"/>
                <w:color w:val="0F1115"/>
                <w:spacing w:val="0"/>
                <w:sz w:val="18"/>
                <w:szCs w:val="18"/>
                <w:shd w:val="clear" w:fill="FFFFFF"/>
              </w:rPr>
              <w:t>JC/T 1074—2021《室内空气净化功能涂覆材料净化性能》：规定了净化功能涂料的净化效率和持久性指标及测试方法。本标准在“产品特性”章节中引用该标准，要求说明书中列明净化性能指标及其检测依据。</w:t>
            </w:r>
          </w:p>
          <w:p w14:paraId="33C6603C">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firstLine="360" w:firstLineChars="200"/>
              <w:textAlignment w:val="auto"/>
              <w:rPr>
                <w:rFonts w:hint="eastAsia" w:ascii="Segoe UI" w:hAnsi="Segoe UI" w:eastAsia="Segoe UI" w:cs="Segoe UI"/>
                <w:i w:val="0"/>
                <w:iCs w:val="0"/>
                <w:caps w:val="0"/>
                <w:color w:val="0F1115"/>
                <w:spacing w:val="0"/>
                <w:sz w:val="18"/>
                <w:szCs w:val="18"/>
                <w:shd w:val="clear" w:fill="FFFFFF"/>
              </w:rPr>
            </w:pPr>
            <w:r>
              <w:rPr>
                <w:rFonts w:hint="eastAsia" w:ascii="Segoe UI" w:hAnsi="Segoe UI" w:eastAsia="Segoe UI" w:cs="Segoe UI"/>
                <w:i w:val="0"/>
                <w:iCs w:val="0"/>
                <w:caps w:val="0"/>
                <w:color w:val="0F1115"/>
                <w:spacing w:val="0"/>
                <w:sz w:val="18"/>
                <w:szCs w:val="18"/>
                <w:shd w:val="clear" w:fill="FFFFFF"/>
              </w:rPr>
              <w:t>HG/T 3950—2007《抗菌涂料》：规定了抗菌涂料的抗菌性能要求和试验方法。本标准同样在“产品特性”中引用，要求明示抗菌率和抗菌持久性数据。</w:t>
            </w:r>
          </w:p>
          <w:p w14:paraId="735C1A8E">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firstLine="360" w:firstLineChars="200"/>
              <w:textAlignment w:val="auto"/>
              <w:rPr>
                <w:rFonts w:hint="eastAsia" w:ascii="Segoe UI" w:hAnsi="Segoe UI" w:eastAsia="Segoe UI" w:cs="Segoe UI"/>
                <w:i w:val="0"/>
                <w:iCs w:val="0"/>
                <w:caps w:val="0"/>
                <w:color w:val="0F1115"/>
                <w:spacing w:val="0"/>
                <w:sz w:val="18"/>
                <w:szCs w:val="18"/>
                <w:shd w:val="clear" w:fill="FFFFFF"/>
              </w:rPr>
            </w:pPr>
            <w:r>
              <w:rPr>
                <w:rFonts w:hint="eastAsia" w:ascii="Segoe UI" w:hAnsi="Segoe UI" w:eastAsia="Segoe UI" w:cs="Segoe UI"/>
                <w:i w:val="0"/>
                <w:iCs w:val="0"/>
                <w:caps w:val="0"/>
                <w:color w:val="0F1115"/>
                <w:spacing w:val="0"/>
                <w:sz w:val="18"/>
                <w:szCs w:val="18"/>
                <w:shd w:val="clear" w:fill="FFFFFF"/>
              </w:rPr>
              <w:t>GB/T 1741—2020《漆膜耐霉菌性测定法》：规定了漆膜防霉性能的测试评级方法，为本标准防霉等级声明提供方法依据。</w:t>
            </w:r>
          </w:p>
          <w:p w14:paraId="5474FDD8">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firstLine="360" w:firstLineChars="200"/>
              <w:textAlignment w:val="auto"/>
              <w:rPr>
                <w:rFonts w:hint="eastAsia" w:ascii="Segoe UI" w:hAnsi="Segoe UI" w:eastAsia="Segoe UI" w:cs="Segoe UI"/>
                <w:i w:val="0"/>
                <w:iCs w:val="0"/>
                <w:caps w:val="0"/>
                <w:color w:val="0F1115"/>
                <w:spacing w:val="0"/>
                <w:sz w:val="18"/>
                <w:szCs w:val="18"/>
                <w:shd w:val="clear" w:fill="FFFFFF"/>
              </w:rPr>
            </w:pPr>
            <w:r>
              <w:rPr>
                <w:rFonts w:hint="eastAsia" w:ascii="Segoe UI" w:hAnsi="Segoe UI" w:eastAsia="Segoe UI" w:cs="Segoe UI"/>
                <w:i w:val="0"/>
                <w:iCs w:val="0"/>
                <w:caps w:val="0"/>
                <w:color w:val="0F1115"/>
                <w:spacing w:val="0"/>
                <w:sz w:val="18"/>
                <w:szCs w:val="18"/>
                <w:shd w:val="clear" w:fill="FFFFFF"/>
              </w:rPr>
              <w:t>本标准不重新规定产品性能指标和检测方法，而是将上述标准中的技术要求作为说明书编制中必须引述和明示的内容，实现产品性能标准与产品使用说明书标准之间的有效衔接。这类关系可理解为“性能标准规定产品应达到什么指标，说明本标准规定如何向用户说清楚这些指标”。</w:t>
            </w:r>
          </w:p>
          <w:p w14:paraId="11E032C1">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firstLine="361" w:firstLineChars="200"/>
              <w:textAlignment w:val="auto"/>
              <w:rPr>
                <w:rFonts w:hint="eastAsia" w:ascii="Segoe UI" w:hAnsi="Segoe UI" w:eastAsia="Segoe UI" w:cs="Segoe UI"/>
                <w:b/>
                <w:bCs/>
                <w:i w:val="0"/>
                <w:iCs w:val="0"/>
                <w:caps w:val="0"/>
                <w:color w:val="0F1115"/>
                <w:spacing w:val="0"/>
                <w:sz w:val="18"/>
                <w:szCs w:val="18"/>
                <w:shd w:val="clear" w:fill="FFFFFF"/>
              </w:rPr>
            </w:pPr>
            <w:r>
              <w:rPr>
                <w:rFonts w:hint="eastAsia" w:ascii="Segoe UI" w:hAnsi="Segoe UI" w:eastAsia="宋体" w:cs="Segoe UI"/>
                <w:b/>
                <w:bCs/>
                <w:i w:val="0"/>
                <w:iCs w:val="0"/>
                <w:caps w:val="0"/>
                <w:color w:val="0F1115"/>
                <w:spacing w:val="0"/>
                <w:sz w:val="18"/>
                <w:szCs w:val="18"/>
                <w:shd w:val="clear" w:fill="FFFFFF"/>
                <w:lang w:eastAsia="zh-CN"/>
              </w:rPr>
              <w:t>（</w:t>
            </w:r>
            <w:r>
              <w:rPr>
                <w:rFonts w:hint="eastAsia" w:ascii="Segoe UI" w:hAnsi="Segoe UI" w:eastAsia="Segoe UI" w:cs="Segoe UI"/>
                <w:b/>
                <w:bCs/>
                <w:i w:val="0"/>
                <w:iCs w:val="0"/>
                <w:caps w:val="0"/>
                <w:color w:val="0F1115"/>
                <w:spacing w:val="0"/>
                <w:sz w:val="18"/>
                <w:szCs w:val="18"/>
                <w:shd w:val="clear" w:fill="FFFFFF"/>
              </w:rPr>
              <w:t>四</w:t>
            </w:r>
            <w:r>
              <w:rPr>
                <w:rFonts w:hint="eastAsia" w:ascii="Segoe UI" w:hAnsi="Segoe UI" w:eastAsia="宋体" w:cs="Segoe UI"/>
                <w:b/>
                <w:bCs/>
                <w:i w:val="0"/>
                <w:iCs w:val="0"/>
                <w:caps w:val="0"/>
                <w:color w:val="0F1115"/>
                <w:spacing w:val="0"/>
                <w:sz w:val="18"/>
                <w:szCs w:val="18"/>
                <w:shd w:val="clear" w:fill="FFFFFF"/>
                <w:lang w:eastAsia="zh-CN"/>
              </w:rPr>
              <w:t>）</w:t>
            </w:r>
            <w:r>
              <w:rPr>
                <w:rFonts w:hint="eastAsia" w:ascii="Segoe UI" w:hAnsi="Segoe UI" w:eastAsia="Segoe UI" w:cs="Segoe UI"/>
                <w:b/>
                <w:bCs/>
                <w:i w:val="0"/>
                <w:iCs w:val="0"/>
                <w:caps w:val="0"/>
                <w:color w:val="0F1115"/>
                <w:spacing w:val="0"/>
                <w:sz w:val="18"/>
                <w:szCs w:val="18"/>
                <w:shd w:val="clear" w:fill="FFFFFF"/>
              </w:rPr>
              <w:t>、与相关术语及分类标准的关系</w:t>
            </w:r>
          </w:p>
          <w:p w14:paraId="0E8DBF1A">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firstLine="360" w:firstLineChars="200"/>
              <w:textAlignment w:val="auto"/>
              <w:rPr>
                <w:rFonts w:hint="eastAsia" w:ascii="Segoe UI" w:hAnsi="Segoe UI" w:eastAsia="Segoe UI" w:cs="Segoe UI"/>
                <w:i w:val="0"/>
                <w:iCs w:val="0"/>
                <w:caps w:val="0"/>
                <w:color w:val="0F1115"/>
                <w:spacing w:val="0"/>
                <w:sz w:val="18"/>
                <w:szCs w:val="18"/>
                <w:shd w:val="clear" w:fill="FFFFFF"/>
              </w:rPr>
            </w:pPr>
            <w:r>
              <w:rPr>
                <w:rFonts w:hint="eastAsia" w:ascii="Segoe UI" w:hAnsi="Segoe UI" w:eastAsia="Segoe UI" w:cs="Segoe UI"/>
                <w:i w:val="0"/>
                <w:iCs w:val="0"/>
                <w:caps w:val="0"/>
                <w:color w:val="0F1115"/>
                <w:spacing w:val="0"/>
                <w:sz w:val="18"/>
                <w:szCs w:val="18"/>
                <w:shd w:val="clear" w:fill="FFFFFF"/>
              </w:rPr>
              <w:t>目前无专门针对“</w:t>
            </w:r>
            <w:r>
              <w:rPr>
                <w:rFonts w:hint="eastAsia" w:ascii="Segoe UI" w:hAnsi="Segoe UI" w:eastAsia="宋体" w:cs="Segoe UI"/>
                <w:i w:val="0"/>
                <w:iCs w:val="0"/>
                <w:caps w:val="0"/>
                <w:color w:val="0F1115"/>
                <w:spacing w:val="0"/>
                <w:sz w:val="18"/>
                <w:szCs w:val="18"/>
                <w:shd w:val="clear" w:fill="FFFFFF"/>
                <w:lang w:val="en-US" w:eastAsia="zh-CN"/>
              </w:rPr>
              <w:t>室内健康功能</w:t>
            </w:r>
            <w:r>
              <w:rPr>
                <w:rFonts w:hint="eastAsia" w:ascii="Segoe UI" w:hAnsi="Segoe UI" w:eastAsia="Segoe UI" w:cs="Segoe UI"/>
                <w:i w:val="0"/>
                <w:iCs w:val="0"/>
                <w:caps w:val="0"/>
                <w:color w:val="0F1115"/>
                <w:spacing w:val="0"/>
                <w:sz w:val="18"/>
                <w:szCs w:val="18"/>
                <w:shd w:val="clear" w:fill="FFFFFF"/>
              </w:rPr>
              <w:t>艺术涂料”的术语定义标准，本标准首次给出了该产品的规范性术语定义。这一术语界定为本标准的核心概念基础，也为今后可能制</w:t>
            </w:r>
            <w:bookmarkStart w:id="0" w:name="_GoBack"/>
            <w:bookmarkEnd w:id="0"/>
            <w:r>
              <w:rPr>
                <w:rFonts w:hint="eastAsia" w:ascii="Segoe UI" w:hAnsi="Segoe UI" w:eastAsia="Segoe UI" w:cs="Segoe UI"/>
                <w:i w:val="0"/>
                <w:iCs w:val="0"/>
                <w:caps w:val="0"/>
                <w:color w:val="0F1115"/>
                <w:spacing w:val="0"/>
                <w:sz w:val="18"/>
                <w:szCs w:val="18"/>
                <w:shd w:val="clear" w:fill="FFFFFF"/>
              </w:rPr>
              <w:t>定的相关产品标准提供了术语参考。</w:t>
            </w:r>
          </w:p>
          <w:p w14:paraId="07047A12">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firstLine="360" w:firstLineChars="200"/>
              <w:textAlignment w:val="auto"/>
              <w:rPr>
                <w:rFonts w:hint="eastAsia" w:ascii="Segoe UI" w:hAnsi="Segoe UI" w:eastAsia="Segoe UI" w:cs="Segoe UI"/>
                <w:i w:val="0"/>
                <w:iCs w:val="0"/>
                <w:caps w:val="0"/>
                <w:color w:val="0F1115"/>
                <w:spacing w:val="0"/>
                <w:sz w:val="18"/>
                <w:szCs w:val="18"/>
                <w:shd w:val="clear" w:fill="FFFFFF"/>
              </w:rPr>
            </w:pPr>
            <w:r>
              <w:rPr>
                <w:rFonts w:hint="eastAsia" w:ascii="Segoe UI" w:hAnsi="Segoe UI" w:eastAsia="宋体" w:cs="Segoe UI"/>
                <w:i w:val="0"/>
                <w:iCs w:val="0"/>
                <w:caps w:val="0"/>
                <w:color w:val="0F1115"/>
                <w:spacing w:val="0"/>
                <w:sz w:val="18"/>
                <w:szCs w:val="18"/>
                <w:shd w:val="clear" w:fill="FFFFFF"/>
                <w:lang w:eastAsia="zh-CN"/>
              </w:rPr>
              <w:t>（</w:t>
            </w:r>
            <w:r>
              <w:rPr>
                <w:rFonts w:hint="eastAsia" w:ascii="Segoe UI" w:hAnsi="Segoe UI" w:eastAsia="Segoe UI" w:cs="Segoe UI"/>
                <w:i w:val="0"/>
                <w:iCs w:val="0"/>
                <w:caps w:val="0"/>
                <w:color w:val="0F1115"/>
                <w:spacing w:val="0"/>
                <w:sz w:val="18"/>
                <w:szCs w:val="18"/>
                <w:shd w:val="clear" w:fill="FFFFFF"/>
              </w:rPr>
              <w:t>五</w:t>
            </w:r>
            <w:r>
              <w:rPr>
                <w:rFonts w:hint="eastAsia" w:ascii="Segoe UI" w:hAnsi="Segoe UI" w:eastAsia="宋体" w:cs="Segoe UI"/>
                <w:i w:val="0"/>
                <w:iCs w:val="0"/>
                <w:caps w:val="0"/>
                <w:color w:val="0F1115"/>
                <w:spacing w:val="0"/>
                <w:sz w:val="18"/>
                <w:szCs w:val="18"/>
                <w:shd w:val="clear" w:fill="FFFFFF"/>
                <w:lang w:eastAsia="zh-CN"/>
              </w:rPr>
              <w:t>）</w:t>
            </w:r>
            <w:r>
              <w:rPr>
                <w:rFonts w:hint="eastAsia" w:ascii="Segoe UI" w:hAnsi="Segoe UI" w:eastAsia="Segoe UI" w:cs="Segoe UI"/>
                <w:i w:val="0"/>
                <w:iCs w:val="0"/>
                <w:caps w:val="0"/>
                <w:color w:val="0F1115"/>
                <w:spacing w:val="0"/>
                <w:sz w:val="18"/>
                <w:szCs w:val="18"/>
                <w:shd w:val="clear" w:fill="FFFFFF"/>
              </w:rPr>
              <w:t>、本标准在标准体系中的位置</w:t>
            </w:r>
          </w:p>
          <w:p w14:paraId="64DD9DC3">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firstLine="360" w:firstLineChars="200"/>
              <w:textAlignment w:val="auto"/>
              <w:rPr>
                <w:rFonts w:hint="eastAsia" w:ascii="宋体" w:hAnsi="宋体" w:eastAsia="宋体"/>
                <w:sz w:val="18"/>
                <w:szCs w:val="18"/>
                <w:lang w:val="en-US" w:eastAsia="zh-CN"/>
              </w:rPr>
            </w:pPr>
            <w:r>
              <w:rPr>
                <w:rFonts w:hint="eastAsia" w:ascii="Segoe UI" w:hAnsi="Segoe UI" w:eastAsia="Segoe UI" w:cs="Segoe UI"/>
                <w:i w:val="0"/>
                <w:iCs w:val="0"/>
                <w:caps w:val="0"/>
                <w:color w:val="0F1115"/>
                <w:spacing w:val="0"/>
                <w:sz w:val="18"/>
                <w:szCs w:val="18"/>
                <w:shd w:val="clear" w:fill="FFFFFF"/>
              </w:rPr>
              <w:t>从标准体系分类角度，建材领域标准体系通常涵盖产品标准、方法标准、基础通用标准和管理标准等类别。本标准定位于“产品使用说明书”细分领域下的专用指导标准，属于基础通用标准范畴</w:t>
            </w:r>
            <w:r>
              <w:rPr>
                <w:rFonts w:ascii="Segoe UI" w:hAnsi="Segoe UI" w:eastAsia="Segoe UI" w:cs="Segoe UI"/>
                <w:i w:val="0"/>
                <w:iCs w:val="0"/>
                <w:caps w:val="0"/>
                <w:color w:val="0F1115"/>
                <w:spacing w:val="0"/>
                <w:sz w:val="18"/>
                <w:szCs w:val="18"/>
                <w:shd w:val="clear" w:fill="FFFFFF"/>
              </w:rPr>
              <w:t>。</w:t>
            </w:r>
          </w:p>
          <w:p w14:paraId="1CE505EC">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firstLine="360" w:firstLineChars="200"/>
              <w:textAlignment w:val="auto"/>
              <w:rPr>
                <w:rFonts w:hint="eastAsia" w:ascii="宋体" w:hAnsi="宋体" w:eastAsia="宋体"/>
                <w:sz w:val="18"/>
                <w:szCs w:val="18"/>
                <w:lang w:val="en-US" w:eastAsia="zh-CN"/>
              </w:rPr>
            </w:pPr>
          </w:p>
          <w:p w14:paraId="0A90F6D6">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firstLine="360" w:firstLineChars="200"/>
              <w:textAlignment w:val="auto"/>
              <w:rPr>
                <w:rFonts w:hint="eastAsia" w:ascii="宋体" w:hAnsi="宋体" w:eastAsia="宋体"/>
                <w:sz w:val="18"/>
                <w:szCs w:val="18"/>
                <w:lang w:val="en-US" w:eastAsia="zh-CN"/>
              </w:rPr>
            </w:pPr>
            <w:r>
              <w:rPr>
                <w:rFonts w:hint="eastAsia" w:ascii="宋体" w:hAnsi="宋体" w:eastAsia="宋体"/>
                <w:sz w:val="18"/>
                <w:szCs w:val="18"/>
                <w:lang w:val="en-US" w:eastAsia="zh-CN"/>
              </w:rPr>
              <w:t>综上，本标准项目作为《建材产品使用说明书 通用要求》的首批功能性建材说明书专用细则之一，填补了该类产品在说明书编制规范方面的空白。标准向上遵循通用要求的框架，横向协同引用相关产品性能标准，在标准体系中处于基础通用标准下的专用说明标准位置。制定本标准不仅不会造成标准交叉重复，还将有效衔接产品性能检测端与消费使用端，完善我国功能性建材标准链条，为后续其他品类功能性建材说明书标准的制定提供先行范例。</w:t>
            </w:r>
          </w:p>
          <w:p w14:paraId="770E034D">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firstLine="360" w:firstLineChars="200"/>
              <w:textAlignment w:val="auto"/>
              <w:rPr>
                <w:rFonts w:hint="default" w:ascii="宋体" w:hAnsi="宋体" w:eastAsia="宋体"/>
                <w:sz w:val="18"/>
                <w:szCs w:val="18"/>
                <w:lang w:val="en-US" w:eastAsia="zh-CN"/>
              </w:rPr>
            </w:pPr>
          </w:p>
          <w:p w14:paraId="250A4C44">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firstLine="360" w:firstLineChars="200"/>
              <w:textAlignment w:val="auto"/>
              <w:rPr>
                <w:rFonts w:hint="default" w:ascii="宋体" w:hAnsi="宋体" w:eastAsia="宋体"/>
                <w:sz w:val="18"/>
                <w:szCs w:val="18"/>
                <w:lang w:val="en-US" w:eastAsia="zh-CN"/>
              </w:rPr>
            </w:pPr>
          </w:p>
          <w:p w14:paraId="6AD64C5F">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firstLine="360" w:firstLineChars="200"/>
              <w:textAlignment w:val="auto"/>
              <w:rPr>
                <w:rFonts w:hint="default" w:ascii="宋体" w:hAnsi="宋体" w:eastAsia="宋体"/>
                <w:sz w:val="18"/>
                <w:szCs w:val="18"/>
                <w:lang w:val="en-US" w:eastAsia="zh-CN"/>
              </w:rPr>
            </w:pPr>
          </w:p>
          <w:p w14:paraId="4D2BD188">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firstLine="360" w:firstLineChars="200"/>
              <w:textAlignment w:val="auto"/>
              <w:rPr>
                <w:rFonts w:hint="default" w:ascii="宋体" w:hAnsi="宋体" w:eastAsia="宋体"/>
                <w:sz w:val="18"/>
                <w:szCs w:val="18"/>
                <w:lang w:val="en-US" w:eastAsia="zh-CN"/>
              </w:rPr>
            </w:pPr>
          </w:p>
          <w:p w14:paraId="664F5FDF">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firstLine="360" w:firstLineChars="200"/>
              <w:textAlignment w:val="auto"/>
              <w:rPr>
                <w:rFonts w:hint="default" w:ascii="宋体" w:hAnsi="宋体" w:eastAsia="宋体"/>
                <w:sz w:val="18"/>
                <w:szCs w:val="18"/>
                <w:lang w:val="en-US" w:eastAsia="zh-CN"/>
              </w:rPr>
            </w:pPr>
          </w:p>
          <w:p w14:paraId="5C00DCD2">
            <w:pPr>
              <w:numPr>
                <w:ilvl w:val="0"/>
                <w:numId w:val="4"/>
              </w:numPr>
              <w:snapToGrid w:val="0"/>
              <w:spacing w:line="360" w:lineRule="auto"/>
              <w:ind w:left="0" w:leftChars="0" w:firstLine="0" w:firstLineChars="0"/>
              <w:rPr>
                <w:rFonts w:hint="eastAsia" w:ascii="宋体" w:hAnsi="宋体" w:eastAsia="宋体"/>
                <w:b/>
                <w:bCs/>
                <w:sz w:val="18"/>
                <w:szCs w:val="18"/>
                <w:u w:val="single"/>
              </w:rPr>
            </w:pPr>
            <w:r>
              <w:rPr>
                <w:rFonts w:hint="eastAsia" w:ascii="宋体" w:hAnsi="宋体" w:eastAsia="宋体"/>
                <w:b/>
                <w:bCs/>
                <w:sz w:val="18"/>
                <w:szCs w:val="18"/>
                <w:u w:val="single"/>
              </w:rPr>
              <w:t>指出是否发现有知识产权的问题。</w:t>
            </w:r>
          </w:p>
          <w:p w14:paraId="624039B6">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firstLine="360" w:firstLineChars="200"/>
              <w:textAlignment w:val="auto"/>
              <w:rPr>
                <w:rFonts w:hint="default" w:ascii="宋体" w:hAnsi="宋体" w:eastAsia="宋体"/>
                <w:sz w:val="18"/>
                <w:szCs w:val="18"/>
                <w:u w:val="none"/>
                <w:lang w:val="en-US" w:eastAsia="zh-CN"/>
              </w:rPr>
            </w:pPr>
            <w:r>
              <w:rPr>
                <w:rFonts w:hint="eastAsia" w:ascii="宋体" w:hAnsi="宋体" w:eastAsia="宋体"/>
                <w:sz w:val="18"/>
                <w:szCs w:val="18"/>
                <w:u w:val="none"/>
                <w:lang w:val="en-US" w:eastAsia="zh-CN"/>
              </w:rPr>
              <w:t>经查阅不涉及专利。</w:t>
            </w:r>
          </w:p>
        </w:tc>
      </w:tr>
      <w:tr w14:paraId="0267A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2" w:hRule="atLeast"/>
          <w:jc w:val="center"/>
        </w:trPr>
        <w:tc>
          <w:tcPr>
            <w:tcW w:w="2167" w:type="dxa"/>
            <w:vAlign w:val="center"/>
          </w:tcPr>
          <w:p w14:paraId="246FFCDC">
            <w:pPr>
              <w:pStyle w:val="7"/>
              <w:tabs>
                <w:tab w:val="clear" w:pos="4153"/>
                <w:tab w:val="clear" w:pos="8306"/>
              </w:tabs>
              <w:spacing w:line="360" w:lineRule="auto"/>
              <w:rPr>
                <w:rFonts w:ascii="宋体" w:hAnsi="宋体" w:eastAsia="宋体"/>
              </w:rPr>
            </w:pPr>
            <w:r>
              <w:rPr>
                <w:rFonts w:hint="eastAsia" w:ascii="宋体" w:hAnsi="宋体" w:eastAsia="宋体"/>
              </w:rPr>
              <w:t>牵头单位</w:t>
            </w:r>
          </w:p>
        </w:tc>
        <w:tc>
          <w:tcPr>
            <w:tcW w:w="3972" w:type="dxa"/>
            <w:gridSpan w:val="5"/>
            <w:vAlign w:val="center"/>
          </w:tcPr>
          <w:p w14:paraId="18971973">
            <w:pPr>
              <w:snapToGrid w:val="0"/>
              <w:spacing w:line="360" w:lineRule="auto"/>
              <w:jc w:val="center"/>
              <w:rPr>
                <w:rFonts w:ascii="宋体" w:hAnsi="宋体" w:eastAsia="宋体"/>
                <w:sz w:val="18"/>
                <w:szCs w:val="18"/>
              </w:rPr>
            </w:pPr>
          </w:p>
          <w:p w14:paraId="62674B69">
            <w:pPr>
              <w:snapToGrid w:val="0"/>
              <w:spacing w:line="360" w:lineRule="auto"/>
              <w:jc w:val="center"/>
              <w:rPr>
                <w:rFonts w:ascii="宋体" w:hAnsi="宋体" w:eastAsia="宋体"/>
                <w:sz w:val="18"/>
                <w:szCs w:val="18"/>
              </w:rPr>
            </w:pPr>
            <w:r>
              <w:rPr>
                <w:rFonts w:hint="eastAsia" w:ascii="宋体" w:hAnsi="宋体" w:eastAsia="宋体"/>
                <w:sz w:val="18"/>
                <w:szCs w:val="18"/>
              </w:rPr>
              <w:t>（签字、盖公章）月     日</w:t>
            </w:r>
          </w:p>
        </w:tc>
        <w:tc>
          <w:tcPr>
            <w:tcW w:w="1701" w:type="dxa"/>
            <w:gridSpan w:val="2"/>
            <w:vAlign w:val="center"/>
          </w:tcPr>
          <w:p w14:paraId="182AB16E">
            <w:pPr>
              <w:snapToGrid w:val="0"/>
              <w:spacing w:line="360" w:lineRule="auto"/>
              <w:jc w:val="center"/>
              <w:rPr>
                <w:rFonts w:ascii="宋体" w:hAnsi="宋体" w:eastAsia="宋体"/>
                <w:sz w:val="18"/>
                <w:szCs w:val="18"/>
              </w:rPr>
            </w:pPr>
            <w:r>
              <w:rPr>
                <w:rFonts w:hint="eastAsia" w:ascii="宋体" w:hAnsi="宋体" w:eastAsia="宋体"/>
                <w:sz w:val="18"/>
                <w:szCs w:val="18"/>
              </w:rPr>
              <w:t>归口管理部门</w:t>
            </w:r>
          </w:p>
        </w:tc>
        <w:tc>
          <w:tcPr>
            <w:tcW w:w="1900" w:type="dxa"/>
            <w:vAlign w:val="center"/>
          </w:tcPr>
          <w:p w14:paraId="6A125936">
            <w:pPr>
              <w:snapToGrid w:val="0"/>
              <w:spacing w:line="360" w:lineRule="auto"/>
              <w:rPr>
                <w:rFonts w:ascii="宋体" w:hAnsi="宋体" w:eastAsia="宋体"/>
                <w:sz w:val="18"/>
                <w:szCs w:val="18"/>
              </w:rPr>
            </w:pPr>
          </w:p>
          <w:p w14:paraId="79A663D1">
            <w:pPr>
              <w:snapToGrid w:val="0"/>
              <w:rPr>
                <w:rFonts w:ascii="宋体" w:hAnsi="宋体" w:eastAsia="宋体"/>
                <w:sz w:val="18"/>
                <w:szCs w:val="18"/>
              </w:rPr>
            </w:pPr>
            <w:r>
              <w:rPr>
                <w:rFonts w:hint="eastAsia" w:ascii="宋体" w:hAnsi="宋体" w:eastAsia="宋体"/>
                <w:sz w:val="18"/>
                <w:szCs w:val="18"/>
              </w:rPr>
              <w:t>（签字、盖公章）</w:t>
            </w:r>
          </w:p>
          <w:p w14:paraId="64E6BA93">
            <w:pPr>
              <w:snapToGrid w:val="0"/>
              <w:rPr>
                <w:rFonts w:ascii="宋体" w:hAnsi="宋体" w:eastAsia="宋体"/>
                <w:sz w:val="18"/>
                <w:szCs w:val="18"/>
              </w:rPr>
            </w:pPr>
            <w:r>
              <w:rPr>
                <w:rFonts w:hint="eastAsia" w:ascii="宋体" w:hAnsi="宋体" w:eastAsia="宋体"/>
                <w:sz w:val="18"/>
                <w:szCs w:val="18"/>
              </w:rPr>
              <w:t xml:space="preserve">    月     日</w:t>
            </w:r>
          </w:p>
        </w:tc>
      </w:tr>
    </w:tbl>
    <w:p w14:paraId="7A5CB49F">
      <w:pPr>
        <w:snapToGrid w:val="0"/>
        <w:spacing w:beforeLines="50"/>
        <w:ind w:firstLine="503" w:firstLineChars="280"/>
        <w:rPr>
          <w:rFonts w:ascii="宋体" w:hAnsi="宋体" w:eastAsia="宋体"/>
          <w:sz w:val="18"/>
          <w:szCs w:val="18"/>
        </w:rPr>
      </w:pPr>
      <w:r>
        <w:rPr>
          <w:rFonts w:ascii="宋体" w:hAnsi="宋体" w:eastAsia="宋体"/>
          <w:sz w:val="18"/>
          <w:szCs w:val="18"/>
        </w:rPr>
        <w:t>[</w:t>
      </w:r>
      <w:r>
        <w:rPr>
          <w:rFonts w:hint="eastAsia" w:ascii="宋体" w:hAnsi="宋体" w:eastAsia="宋体"/>
          <w:sz w:val="18"/>
          <w:szCs w:val="18"/>
        </w:rPr>
        <w:t>注1</w:t>
      </w:r>
      <w:r>
        <w:rPr>
          <w:rFonts w:ascii="宋体" w:hAnsi="宋体" w:eastAsia="宋体"/>
          <w:sz w:val="18"/>
          <w:szCs w:val="18"/>
        </w:rPr>
        <w:t xml:space="preserve">] </w:t>
      </w:r>
      <w:r>
        <w:rPr>
          <w:rFonts w:hint="eastAsia" w:ascii="宋体" w:hAnsi="宋体" w:eastAsia="宋体"/>
          <w:sz w:val="18"/>
          <w:szCs w:val="18"/>
        </w:rPr>
        <w:t xml:space="preserve"> 填写制定或修订项目中，若选择修订必须填写被修订标准号；</w:t>
      </w:r>
    </w:p>
    <w:p w14:paraId="65BFAE09">
      <w:pPr>
        <w:snapToGrid w:val="0"/>
        <w:ind w:firstLine="503" w:firstLineChars="280"/>
        <w:rPr>
          <w:rFonts w:ascii="宋体" w:hAnsi="宋体" w:eastAsia="宋体"/>
          <w:sz w:val="18"/>
          <w:szCs w:val="18"/>
        </w:rPr>
      </w:pPr>
      <w:r>
        <w:rPr>
          <w:rFonts w:ascii="宋体" w:hAnsi="宋体" w:eastAsia="宋体"/>
          <w:sz w:val="18"/>
          <w:szCs w:val="18"/>
        </w:rPr>
        <w:t>[</w:t>
      </w:r>
      <w:r>
        <w:rPr>
          <w:rFonts w:hint="eastAsia" w:ascii="宋体" w:hAnsi="宋体" w:eastAsia="宋体"/>
          <w:sz w:val="18"/>
          <w:szCs w:val="18"/>
        </w:rPr>
        <w:t>注2</w:t>
      </w:r>
      <w:r>
        <w:rPr>
          <w:rFonts w:ascii="宋体" w:hAnsi="宋体" w:eastAsia="宋体"/>
          <w:sz w:val="18"/>
          <w:szCs w:val="18"/>
        </w:rPr>
        <w:t>]</w:t>
      </w:r>
      <w:r>
        <w:rPr>
          <w:rFonts w:hint="eastAsia" w:ascii="宋体" w:hAnsi="宋体" w:eastAsia="宋体"/>
          <w:sz w:val="18"/>
          <w:szCs w:val="18"/>
        </w:rPr>
        <w:t xml:space="preserve">  选择采用国际标准，必须填写采标号及采用程度；</w:t>
      </w:r>
    </w:p>
    <w:p w14:paraId="67C3A64D">
      <w:pPr>
        <w:snapToGrid w:val="0"/>
        <w:ind w:left="448" w:leftChars="160" w:firstLine="54" w:firstLineChars="30"/>
        <w:rPr>
          <w:sz w:val="18"/>
          <w:szCs w:val="18"/>
        </w:rPr>
      </w:pPr>
      <w:r>
        <w:rPr>
          <w:rFonts w:ascii="宋体" w:hAnsi="宋体" w:eastAsia="宋体"/>
          <w:sz w:val="18"/>
          <w:szCs w:val="18"/>
        </w:rPr>
        <w:t>[</w:t>
      </w:r>
      <w:r>
        <w:rPr>
          <w:rFonts w:hint="eastAsia" w:ascii="宋体" w:hAnsi="宋体" w:eastAsia="宋体"/>
          <w:sz w:val="18"/>
          <w:szCs w:val="18"/>
        </w:rPr>
        <w:t>注3</w:t>
      </w:r>
      <w:r>
        <w:rPr>
          <w:rFonts w:ascii="宋体" w:hAnsi="宋体" w:eastAsia="宋体"/>
          <w:sz w:val="18"/>
          <w:szCs w:val="18"/>
        </w:rPr>
        <w:t>]</w:t>
      </w:r>
      <w:r>
        <w:rPr>
          <w:rFonts w:hint="eastAsia" w:ascii="宋体" w:hAnsi="宋体" w:eastAsia="宋体"/>
          <w:sz w:val="18"/>
          <w:szCs w:val="18"/>
        </w:rPr>
        <w:t xml:space="preserve">  选择采用快速程序，必须填写快速程序代码。</w:t>
      </w:r>
    </w:p>
    <w:p w14:paraId="744BA66C">
      <w:pPr>
        <w:snapToGrid w:val="0"/>
        <w:rPr>
          <w:sz w:val="18"/>
          <w:szCs w:val="18"/>
        </w:rPr>
      </w:pPr>
    </w:p>
    <w:p w14:paraId="66926D9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C54356"/>
    <w:multiLevelType w:val="singleLevel"/>
    <w:tmpl w:val="B7C54356"/>
    <w:lvl w:ilvl="0" w:tentative="0">
      <w:start w:val="1"/>
      <w:numFmt w:val="decimal"/>
      <w:suff w:val="nothing"/>
      <w:lvlText w:val="（%1）"/>
      <w:lvlJc w:val="left"/>
    </w:lvl>
  </w:abstractNum>
  <w:abstractNum w:abstractNumId="1">
    <w:nsid w:val="0C701661"/>
    <w:multiLevelType w:val="singleLevel"/>
    <w:tmpl w:val="0C701661"/>
    <w:lvl w:ilvl="0" w:tentative="0">
      <w:start w:val="1"/>
      <w:numFmt w:val="decimal"/>
      <w:suff w:val="space"/>
      <w:lvlText w:val="%1."/>
      <w:lvlJc w:val="left"/>
    </w:lvl>
  </w:abstractNum>
  <w:abstractNum w:abstractNumId="2">
    <w:nsid w:val="0FC943DC"/>
    <w:multiLevelType w:val="singleLevel"/>
    <w:tmpl w:val="0FC943DC"/>
    <w:lvl w:ilvl="0" w:tentative="0">
      <w:start w:val="1"/>
      <w:numFmt w:val="decimal"/>
      <w:suff w:val="nothing"/>
      <w:lvlText w:val="%1）"/>
      <w:lvlJc w:val="left"/>
    </w:lvl>
  </w:abstractNum>
  <w:abstractNum w:abstractNumId="3">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2"/>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20"/>
      <w:suff w:val="nothing"/>
      <w:lvlText w:val="%1%2　"/>
      <w:lvlJc w:val="left"/>
      <w:pPr>
        <w:ind w:left="0" w:firstLine="0"/>
      </w:pPr>
      <w:rPr>
        <w:rFonts w:hint="eastAsia" w:ascii="黑体" w:eastAsia="黑体"/>
        <w:b w:val="0"/>
        <w:i w:val="0"/>
        <w:sz w:val="21"/>
      </w:rPr>
    </w:lvl>
    <w:lvl w:ilvl="2" w:tentative="0">
      <w:start w:val="1"/>
      <w:numFmt w:val="decimal"/>
      <w:pStyle w:val="19"/>
      <w:suff w:val="nothing"/>
      <w:lvlText w:val="%1%2.%3　"/>
      <w:lvlJc w:val="left"/>
      <w:pPr>
        <w:ind w:left="6095"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ligatures w14:val="none"/>
        <w14:numForm w14:val="default"/>
        <w14:numSpacing w14:val="default"/>
      </w:rPr>
    </w:lvl>
    <w:lvl w:ilvl="3" w:tentative="0">
      <w:start w:val="1"/>
      <w:numFmt w:val="decimal"/>
      <w:suff w:val="nothing"/>
      <w:lvlText w:val="%1%2.%3.%4　"/>
      <w:lvlJc w:val="left"/>
      <w:pPr>
        <w:ind w:left="2835"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723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7499"/>
    <w:rsid w:val="00314295"/>
    <w:rsid w:val="00631028"/>
    <w:rsid w:val="00747499"/>
    <w:rsid w:val="00A618D0"/>
    <w:rsid w:val="00E03E1D"/>
    <w:rsid w:val="00F7264B"/>
    <w:rsid w:val="04041965"/>
    <w:rsid w:val="075F5104"/>
    <w:rsid w:val="076F17EB"/>
    <w:rsid w:val="07A22BB8"/>
    <w:rsid w:val="086C5D2B"/>
    <w:rsid w:val="0F9D2C6D"/>
    <w:rsid w:val="0FB8533B"/>
    <w:rsid w:val="17835CBE"/>
    <w:rsid w:val="18250C32"/>
    <w:rsid w:val="1C224C26"/>
    <w:rsid w:val="1D6B6159"/>
    <w:rsid w:val="21141374"/>
    <w:rsid w:val="21415B4F"/>
    <w:rsid w:val="29325D7D"/>
    <w:rsid w:val="29F85218"/>
    <w:rsid w:val="2D34352C"/>
    <w:rsid w:val="31083F93"/>
    <w:rsid w:val="333A23F0"/>
    <w:rsid w:val="33DF45BF"/>
    <w:rsid w:val="36171DC5"/>
    <w:rsid w:val="38BD49C5"/>
    <w:rsid w:val="39822409"/>
    <w:rsid w:val="39BA4D27"/>
    <w:rsid w:val="3B5953EB"/>
    <w:rsid w:val="3B691AD2"/>
    <w:rsid w:val="420172D0"/>
    <w:rsid w:val="43536B83"/>
    <w:rsid w:val="4ABA40F8"/>
    <w:rsid w:val="52461E2B"/>
    <w:rsid w:val="52BB7F3F"/>
    <w:rsid w:val="57B95737"/>
    <w:rsid w:val="5A0233C6"/>
    <w:rsid w:val="5AFD43A2"/>
    <w:rsid w:val="5B5E462C"/>
    <w:rsid w:val="5E7C6EF9"/>
    <w:rsid w:val="5FBE05A1"/>
    <w:rsid w:val="616E30EF"/>
    <w:rsid w:val="61A11A3C"/>
    <w:rsid w:val="62FB0777"/>
    <w:rsid w:val="65FE0C02"/>
    <w:rsid w:val="6A94006A"/>
    <w:rsid w:val="757D11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nhideWhenUsed="0" w:uiPriority="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28"/>
      <w:szCs w:val="20"/>
      <w:lang w:val="en-US" w:eastAsia="zh-CN" w:bidi="ar-SA"/>
    </w:rPr>
  </w:style>
  <w:style w:type="paragraph" w:styleId="2">
    <w:name w:val="heading 4"/>
    <w:basedOn w:val="1"/>
    <w:next w:val="1"/>
    <w:semiHidden/>
    <w:unhideWhenUsed/>
    <w:qFormat/>
    <w:uiPriority w:val="9"/>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Body Text"/>
    <w:basedOn w:val="1"/>
    <w:qFormat/>
    <w:uiPriority w:val="99"/>
    <w:pPr>
      <w:autoSpaceDE w:val="0"/>
      <w:autoSpaceDN w:val="0"/>
      <w:adjustRightInd w:val="0"/>
      <w:ind w:left="118"/>
      <w:jc w:val="left"/>
    </w:pPr>
    <w:rPr>
      <w:rFonts w:ascii="宋体" w:cs="宋体"/>
      <w:kern w:val="0"/>
      <w:szCs w:val="21"/>
    </w:rPr>
  </w:style>
  <w:style w:type="paragraph" w:styleId="5">
    <w:name w:val="toc 3"/>
    <w:basedOn w:val="1"/>
    <w:next w:val="1"/>
    <w:semiHidden/>
    <w:uiPriority w:val="0"/>
    <w:pPr>
      <w:tabs>
        <w:tab w:val="right" w:leader="dot" w:pos="9242"/>
      </w:tabs>
      <w:suppressAutoHyphens w:val="0"/>
      <w:ind w:firstLine="210" w:firstLineChars="100"/>
      <w:jc w:val="left"/>
    </w:pPr>
    <w:rPr>
      <w:rFonts w:ascii="宋体"/>
      <w:szCs w:val="21"/>
    </w:rPr>
  </w:style>
  <w:style w:type="paragraph" w:styleId="6">
    <w:name w:val="footer"/>
    <w:basedOn w:val="1"/>
    <w:link w:val="14"/>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3"/>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Normal (Web)"/>
    <w:basedOn w:val="1"/>
    <w:semiHidden/>
    <w:unhideWhenUsed/>
    <w:qFormat/>
    <w:uiPriority w:val="99"/>
    <w:rPr>
      <w:sz w:val="24"/>
    </w:rPr>
  </w:style>
  <w:style w:type="character" w:styleId="11">
    <w:name w:val="Strong"/>
    <w:basedOn w:val="10"/>
    <w:qFormat/>
    <w:uiPriority w:val="22"/>
    <w:rPr>
      <w:b/>
    </w:rPr>
  </w:style>
  <w:style w:type="character" w:styleId="12">
    <w:name w:val="Hyperlink"/>
    <w:basedOn w:val="10"/>
    <w:semiHidden/>
    <w:unhideWhenUsed/>
    <w:qFormat/>
    <w:uiPriority w:val="99"/>
    <w:rPr>
      <w:color w:val="0000FF"/>
      <w:u w:val="single"/>
    </w:rPr>
  </w:style>
  <w:style w:type="character" w:customStyle="1" w:styleId="13">
    <w:name w:val="页眉 Char"/>
    <w:basedOn w:val="10"/>
    <w:link w:val="7"/>
    <w:qFormat/>
    <w:uiPriority w:val="0"/>
    <w:rPr>
      <w:sz w:val="18"/>
      <w:szCs w:val="18"/>
    </w:rPr>
  </w:style>
  <w:style w:type="character" w:customStyle="1" w:styleId="14">
    <w:name w:val="页脚 Char"/>
    <w:basedOn w:val="10"/>
    <w:link w:val="6"/>
    <w:semiHidden/>
    <w:qFormat/>
    <w:uiPriority w:val="99"/>
    <w:rPr>
      <w:sz w:val="18"/>
      <w:szCs w:val="18"/>
    </w:rPr>
  </w:style>
  <w:style w:type="paragraph" w:customStyle="1" w:styleId="15">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6">
    <w:name w:val="目次、标准名称标题"/>
    <w:basedOn w:val="1"/>
    <w:next w:val="15"/>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17">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18">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19">
    <w:name w:val="标准文件_一级条标题"/>
    <w:basedOn w:val="20"/>
    <w:next w:val="21"/>
    <w:qFormat/>
    <w:uiPriority w:val="0"/>
    <w:pPr>
      <w:numPr>
        <w:ilvl w:val="2"/>
      </w:numPr>
      <w:spacing w:before="50" w:beforeLines="50" w:after="50" w:afterLines="50"/>
      <w:ind w:left="0"/>
      <w:outlineLvl w:val="1"/>
    </w:pPr>
  </w:style>
  <w:style w:type="paragraph" w:customStyle="1" w:styleId="20">
    <w:name w:val="标准文件_章标题"/>
    <w:next w:val="21"/>
    <w:qFormat/>
    <w:uiPriority w:val="0"/>
    <w:pPr>
      <w:numPr>
        <w:ilvl w:val="1"/>
        <w:numId w:val="1"/>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21">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2">
    <w:name w:val="一级条标题"/>
    <w:next w:val="15"/>
    <w:qFormat/>
    <w:uiPriority w:val="0"/>
    <w:pPr>
      <w:numPr>
        <w:ilvl w:val="1"/>
        <w:numId w:val="2"/>
      </w:numPr>
      <w:spacing w:before="156" w:beforeLines="50" w:after="156" w:afterLines="50"/>
      <w:outlineLvl w:val="2"/>
    </w:pPr>
    <w:rPr>
      <w:rFonts w:ascii="黑体" w:hAnsi="Times New Roman" w:eastAsia="黑体" w:cs="Times New Roman"/>
      <w:sz w:val="21"/>
      <w:szCs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5139</Words>
  <Characters>5353</Characters>
  <Lines>4</Lines>
  <Paragraphs>1</Paragraphs>
  <TotalTime>1</TotalTime>
  <ScaleCrop>false</ScaleCrop>
  <LinksUpToDate>false</LinksUpToDate>
  <CharactersWithSpaces>5411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2018-05-31T09:17:00Z</dcterms:created>
  <dc:creator>bz</dc:creator>
  <cp:lastModifiedBy>刘蕊蕊</cp:lastModifiedBy>
  <dcterms:modified xsi:type="dcterms:W3CDTF">2026-06-26T08:53:42Z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eyJoZGlkIjoiZWFkNmEyNGI4NDEzMGMxZjI4YzExODVhY2VjNzJiN2EiLCJ1c2VySWQiOiIxMjY1ODEzNjU2In0=</vt:lpwstr>
  </property>
  <property fmtid="{D5CDD505-2E9C-101B-9397-08002B2CF9AE}" pid="3" name="KSOProductBuildVer">
    <vt:lpwstr>2052-12.1.0.26895</vt:lpwstr>
  </property>
  <property fmtid="{D5CDD505-2E9C-101B-9397-08002B2CF9AE}" pid="4" name="ICV">
    <vt:lpwstr>DB795DC07F3045AA8CE77198B0F08034_13</vt:lpwstr>
  </property>
</Properties>
</file>